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50" w:rsidRDefault="00F45F50">
      <w:pPr>
        <w:pStyle w:val="Szvegtrzs"/>
      </w:pPr>
      <w:r>
        <w:t>Az önkormányzatok intézményeiben és a helységben fellelhető közintézményekben a jelenlegi gázfűtés biomassza fűtésre való k</w:t>
      </w:r>
      <w:r>
        <w:t>i</w:t>
      </w:r>
      <w:r>
        <w:t>váltásának koncepcióterve</w: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pStyle w:val="Cmsor1"/>
        <w:numPr>
          <w:ilvl w:val="0"/>
          <w:numId w:val="1"/>
        </w:numPr>
        <w:rPr>
          <w:color w:val="000080"/>
        </w:rPr>
      </w:pPr>
      <w:r>
        <w:rPr>
          <w:b/>
          <w:bCs/>
          <w:i/>
          <w:iCs/>
          <w:color w:val="000080"/>
        </w:rPr>
        <w:t>Alapvetés</w:t>
      </w:r>
    </w:p>
    <w:p w:rsidR="00F45F50" w:rsidRDefault="00F45F50">
      <w:pPr>
        <w:rPr>
          <w:sz w:val="28"/>
        </w:rPr>
      </w:pP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Az ország 3 200 önkormányzatának 95% ában az intézmények f</w:t>
      </w:r>
      <w:r>
        <w:rPr>
          <w:sz w:val="28"/>
        </w:rPr>
        <w:t>ű</w:t>
      </w:r>
      <w:r>
        <w:rPr>
          <w:sz w:val="28"/>
        </w:rPr>
        <w:t>tése földgázzal, történik. Ez – felmérésünk szerint</w:t>
      </w:r>
      <w:r>
        <w:rPr>
          <w:rStyle w:val="Lbjegyzet-hivatkozs"/>
          <w:sz w:val="28"/>
        </w:rPr>
        <w:footnoteReference w:id="1"/>
      </w:r>
      <w:r>
        <w:rPr>
          <w:sz w:val="28"/>
        </w:rPr>
        <w:t>– mintegy 450 millió m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földgáz fe</w:t>
      </w:r>
      <w:r>
        <w:rPr>
          <w:sz w:val="28"/>
        </w:rPr>
        <w:t>l</w:t>
      </w:r>
      <w:r>
        <w:rPr>
          <w:sz w:val="28"/>
        </w:rPr>
        <w:t>használást jelent, amely közelítően 60 milliárd Ft –al terheli az önkormányzatok költségvetését évente</w:t>
      </w:r>
    </w:p>
    <w:p w:rsidR="00F45F50" w:rsidRDefault="00F45F50">
      <w:pPr>
        <w:ind w:left="1080"/>
        <w:jc w:val="both"/>
        <w:rPr>
          <w:sz w:val="28"/>
        </w:rPr>
      </w:pP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Hazánkban mező és erdőgazdasági tüzelhető melléktermékekből – amelyeket ma nem használunk fel – igen nagy mennyiség termel</w:t>
      </w:r>
      <w:r>
        <w:rPr>
          <w:sz w:val="28"/>
        </w:rPr>
        <w:t>ő</w:t>
      </w:r>
      <w:r>
        <w:rPr>
          <w:sz w:val="28"/>
        </w:rPr>
        <w:t>dik évente.</w:t>
      </w:r>
      <w:r>
        <w:rPr>
          <w:rStyle w:val="Lbjegyzet-hivatkozs"/>
          <w:sz w:val="28"/>
        </w:rPr>
        <w:footnoteReference w:id="2"/>
      </w:r>
      <w:r>
        <w:rPr>
          <w:sz w:val="28"/>
        </w:rPr>
        <w:t xml:space="preserve"> Ezek begyűjtése technikailag, és szervezetileg is me</w:t>
      </w:r>
      <w:r>
        <w:rPr>
          <w:sz w:val="28"/>
        </w:rPr>
        <w:t>g</w:t>
      </w:r>
      <w:r>
        <w:rPr>
          <w:sz w:val="28"/>
        </w:rPr>
        <w:t>oldható</w:t>
      </w:r>
      <w:r>
        <w:rPr>
          <w:rStyle w:val="Lbjegyzet-hivatkozs"/>
          <w:sz w:val="28"/>
        </w:rPr>
        <w:footnoteReference w:id="3"/>
      </w:r>
    </w:p>
    <w:tbl>
      <w:tblPr>
        <w:tblpPr w:leftFromText="141" w:rightFromText="141" w:vertAnchor="text" w:horzAnchor="margin" w:tblpXSpec="right" w:tblpY="216"/>
        <w:tblW w:w="83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98"/>
        <w:gridCol w:w="1017"/>
        <w:gridCol w:w="1137"/>
        <w:gridCol w:w="765"/>
        <w:gridCol w:w="1035"/>
        <w:gridCol w:w="1080"/>
        <w:gridCol w:w="1080"/>
      </w:tblGrid>
      <w:tr w:rsidR="00F45F50">
        <w:trPr>
          <w:trHeight w:val="795"/>
        </w:trPr>
        <w:tc>
          <w:tcPr>
            <w:tcW w:w="21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Megnevezés</w:t>
            </w:r>
          </w:p>
        </w:tc>
        <w:tc>
          <w:tcPr>
            <w:tcW w:w="101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Terület, ha</w:t>
            </w:r>
          </w:p>
        </w:tc>
        <w:tc>
          <w:tcPr>
            <w:tcW w:w="113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Főte</w:t>
            </w:r>
            <w:r>
              <w:rPr>
                <w:b/>
                <w:bCs/>
                <w:color w:val="000000"/>
              </w:rPr>
              <w:t>r</w:t>
            </w:r>
            <w:r>
              <w:rPr>
                <w:b/>
                <w:bCs/>
                <w:color w:val="000000"/>
              </w:rPr>
              <w:t>mék to</w:t>
            </w:r>
          </w:p>
        </w:tc>
        <w:tc>
          <w:tcPr>
            <w:tcW w:w="765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szalma/ szem arány</w:t>
            </w:r>
          </w:p>
        </w:tc>
        <w:tc>
          <w:tcPr>
            <w:tcW w:w="1035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Mellé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termék tonna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Begyűjth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tő arány</w:t>
            </w:r>
          </w:p>
        </w:tc>
        <w:tc>
          <w:tcPr>
            <w:tcW w:w="10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Begyűjth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tő tonna</w:t>
            </w:r>
          </w:p>
        </w:tc>
      </w:tr>
      <w:tr w:rsidR="00F45F50">
        <w:trPr>
          <w:trHeight w:val="330"/>
        </w:trPr>
        <w:tc>
          <w:tcPr>
            <w:tcW w:w="2198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Búza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1 945 000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3 115 000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2 803 500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1 121 400</w:t>
            </w:r>
          </w:p>
        </w:tc>
      </w:tr>
      <w:tr w:rsidR="00F45F50">
        <w:trPr>
          <w:trHeight w:val="315"/>
        </w:trPr>
        <w:tc>
          <w:tcPr>
            <w:tcW w:w="2198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 xml:space="preserve">Kukorica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2 538 000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3 848 000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7 311 200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2 924 480</w:t>
            </w:r>
          </w:p>
        </w:tc>
      </w:tr>
      <w:tr w:rsidR="00F45F50">
        <w:trPr>
          <w:trHeight w:val="315"/>
        </w:trPr>
        <w:tc>
          <w:tcPr>
            <w:tcW w:w="2198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 xml:space="preserve">Napraforgó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819 000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547 000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437 600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175 040</w:t>
            </w:r>
          </w:p>
        </w:tc>
      </w:tr>
      <w:tr w:rsidR="00F45F50">
        <w:trPr>
          <w:trHeight w:val="315"/>
        </w:trPr>
        <w:tc>
          <w:tcPr>
            <w:tcW w:w="2198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Szója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137 000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147 000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88 200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61 740</w:t>
            </w:r>
          </w:p>
        </w:tc>
      </w:tr>
      <w:tr w:rsidR="00F45F50">
        <w:trPr>
          <w:trHeight w:val="330"/>
        </w:trPr>
        <w:tc>
          <w:tcPr>
            <w:tcW w:w="2198" w:type="dxa"/>
            <w:tcBorders>
              <w:top w:val="nil"/>
              <w:left w:val="double" w:sz="6" w:space="0" w:color="000000"/>
              <w:bottom w:val="nil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Repce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340 000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45F50" w:rsidRDefault="00F45F50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348 000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208 800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146 160</w:t>
            </w:r>
          </w:p>
        </w:tc>
      </w:tr>
      <w:tr w:rsidR="00F45F50">
        <w:trPr>
          <w:trHeight w:val="345"/>
        </w:trPr>
        <w:tc>
          <w:tcPr>
            <w:tcW w:w="21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Szántóföldi növények</w:t>
            </w:r>
          </w:p>
        </w:tc>
        <w:tc>
          <w:tcPr>
            <w:tcW w:w="101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5 779 000</w:t>
            </w:r>
          </w:p>
        </w:tc>
        <w:tc>
          <w:tcPr>
            <w:tcW w:w="1137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8 005 000</w:t>
            </w:r>
          </w:p>
        </w:tc>
        <w:tc>
          <w:tcPr>
            <w:tcW w:w="765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10 849 300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4 428 820</w:t>
            </w:r>
          </w:p>
        </w:tc>
      </w:tr>
      <w:tr w:rsidR="00F45F50">
        <w:trPr>
          <w:trHeight w:val="330"/>
        </w:trPr>
        <w:tc>
          <w:tcPr>
            <w:tcW w:w="2198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Energia ültetvény</w:t>
            </w:r>
            <w:r>
              <w:rPr>
                <w:rStyle w:val="Lbjegyzet-hivatkozs"/>
                <w:color w:val="000000"/>
              </w:rPr>
              <w:footnoteReference w:id="4"/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360 000</w:t>
            </w:r>
          </w:p>
        </w:tc>
      </w:tr>
      <w:tr w:rsidR="00F45F50">
        <w:trPr>
          <w:trHeight w:val="315"/>
        </w:trPr>
        <w:tc>
          <w:tcPr>
            <w:tcW w:w="2198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Szőlő gyümölcs ülte</w:t>
            </w:r>
            <w:r>
              <w:rPr>
                <w:color w:val="000000"/>
              </w:rPr>
              <w:t>t</w:t>
            </w:r>
            <w:r>
              <w:rPr>
                <w:color w:val="000000"/>
              </w:rPr>
              <w:t>vény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320 000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160 000</w:t>
            </w:r>
          </w:p>
        </w:tc>
      </w:tr>
      <w:tr w:rsidR="00F45F50">
        <w:trPr>
          <w:trHeight w:val="330"/>
        </w:trPr>
        <w:tc>
          <w:tcPr>
            <w:tcW w:w="2198" w:type="dxa"/>
            <w:tcBorders>
              <w:top w:val="nil"/>
              <w:left w:val="double" w:sz="6" w:space="0" w:color="000000"/>
              <w:bottom w:val="nil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Erdészeti hulladék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2 000 000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1 200 000</w:t>
            </w:r>
          </w:p>
        </w:tc>
      </w:tr>
      <w:tr w:rsidR="00F45F50">
        <w:trPr>
          <w:trHeight w:val="300"/>
        </w:trPr>
        <w:tc>
          <w:tcPr>
            <w:tcW w:w="7232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</w:tcPr>
          <w:p w:rsidR="00F45F50" w:rsidRDefault="00F45F50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Összesen reálisan begyűjthető</w:t>
            </w:r>
          </w:p>
        </w:tc>
        <w:tc>
          <w:tcPr>
            <w:tcW w:w="10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6 148 820</w:t>
            </w:r>
          </w:p>
        </w:tc>
      </w:tr>
    </w:tbl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Összesen 136 olyan önkormányzat van az országban, ahol az i</w:t>
      </w:r>
      <w:r>
        <w:rPr>
          <w:sz w:val="28"/>
        </w:rPr>
        <w:t>n</w:t>
      </w:r>
      <w:r>
        <w:rPr>
          <w:sz w:val="28"/>
        </w:rPr>
        <w:t>tézményeinek hőigénye biztonságosan nem lenne kielégíthető</w:t>
      </w:r>
      <w:r>
        <w:rPr>
          <w:rStyle w:val="Lbjegyzet-hivatkozs"/>
          <w:sz w:val="28"/>
        </w:rPr>
        <w:footnoteReference w:id="5"/>
      </w:r>
      <w:r>
        <w:rPr>
          <w:sz w:val="28"/>
        </w:rPr>
        <w:t>a hozzá tartozó területen képződő tüzelhető biomassza mennyiséggel. Ezekben az esetekben is 20 km-es távolságon belül a szükséges biomassza megtalálható</w: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 földgáz ára minden előrejelzés szerint évről-évre növekedni fog</w: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lastRenderedPageBreak/>
        <w:t>A biomassza tüzelés eszközei ma már közelítően ugyanazt a ko</w:t>
      </w:r>
      <w:r>
        <w:rPr>
          <w:sz w:val="28"/>
        </w:rPr>
        <w:t>m</w:t>
      </w:r>
      <w:r>
        <w:rPr>
          <w:sz w:val="28"/>
        </w:rPr>
        <w:t>fort fokozatot biztosítják, mint a gázfűtés</w: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 biomasszával való fűtés a jelenlegi árakon számolva annak le</w:t>
      </w:r>
      <w:r>
        <w:rPr>
          <w:sz w:val="28"/>
        </w:rPr>
        <w:t>g</w:t>
      </w:r>
      <w:r>
        <w:rPr>
          <w:sz w:val="28"/>
        </w:rPr>
        <w:t>nagyobb feldolgozottságát alapul véve is 50%-al</w:t>
      </w:r>
      <w:r>
        <w:rPr>
          <w:rStyle w:val="Lbjegyzet-hivatkozs"/>
          <w:sz w:val="28"/>
        </w:rPr>
        <w:footnoteReference w:id="6"/>
      </w:r>
      <w:r>
        <w:rPr>
          <w:sz w:val="28"/>
        </w:rPr>
        <w:t xml:space="preserve"> olcsóbb (h</w:t>
      </w:r>
      <w:r>
        <w:rPr>
          <w:sz w:val="28"/>
        </w:rPr>
        <w:t>ő</w:t>
      </w:r>
      <w:r>
        <w:rPr>
          <w:sz w:val="28"/>
        </w:rPr>
        <w:t>egyenértékre vetítve bruttó áron) a földgázzal való fűtésnél.</w: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 biomassza tüzelésre alkalmas berendezések közelítően ötször k</w:t>
      </w:r>
      <w:r>
        <w:rPr>
          <w:sz w:val="28"/>
        </w:rPr>
        <w:t>e</w:t>
      </w:r>
      <w:r>
        <w:rPr>
          <w:sz w:val="28"/>
        </w:rPr>
        <w:t>rülnek többe teljesítmény egységre vetítve, mint a gáz tüzelőbere</w:t>
      </w:r>
      <w:r>
        <w:rPr>
          <w:sz w:val="28"/>
        </w:rPr>
        <w:t>n</w:t>
      </w:r>
      <w:r>
        <w:rPr>
          <w:sz w:val="28"/>
        </w:rPr>
        <w:t>dezései</w: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 biomassza tüzelést megvalósítása jelentős (40-50%) támogatást élvez</w:t>
      </w:r>
    </w:p>
    <w:p w:rsidR="00F45F50" w:rsidRDefault="00F45F50">
      <w:pPr>
        <w:ind w:left="1080"/>
        <w:jc w:val="both"/>
        <w:rPr>
          <w:sz w:val="28"/>
        </w:rPr>
      </w:pPr>
    </w:p>
    <w:p w:rsidR="00F45F50" w:rsidRDefault="00F45F50">
      <w:pPr>
        <w:pStyle w:val="Cmsor2"/>
        <w:numPr>
          <w:ilvl w:val="0"/>
          <w:numId w:val="1"/>
        </w:numPr>
        <w:rPr>
          <w:b w:val="0"/>
          <w:bCs w:val="0"/>
          <w:i w:val="0"/>
          <w:iCs w:val="0"/>
        </w:rPr>
      </w:pPr>
      <w:r>
        <w:rPr>
          <w:u w:val="double"/>
        </w:rPr>
        <w:t>Biomassza tüzelési rendszerek</w:t>
      </w:r>
    </w:p>
    <w:p w:rsidR="00F45F50" w:rsidRDefault="00F45F50">
      <w:pPr>
        <w:rPr>
          <w:sz w:val="28"/>
        </w:rPr>
      </w:pPr>
    </w:p>
    <w:p w:rsidR="00F45F50" w:rsidRDefault="00F45F50">
      <w:pPr>
        <w:rPr>
          <w:sz w:val="28"/>
        </w:rPr>
      </w:pPr>
      <w:r>
        <w:rPr>
          <w:sz w:val="28"/>
        </w:rPr>
        <w:t>A tüzelhető biomasszát különböző feldolgozási folyamatokon keresztül lehets</w:t>
      </w:r>
      <w:r>
        <w:rPr>
          <w:sz w:val="28"/>
        </w:rPr>
        <w:t>é</w:t>
      </w:r>
      <w:r>
        <w:rPr>
          <w:sz w:val="28"/>
        </w:rPr>
        <w:t>ges olyan konzisztenciájúvá tenni, hogy automataadagolású tüzelőberendez</w:t>
      </w:r>
      <w:r>
        <w:rPr>
          <w:sz w:val="28"/>
        </w:rPr>
        <w:t>é</w:t>
      </w:r>
      <w:r>
        <w:rPr>
          <w:sz w:val="28"/>
        </w:rPr>
        <w:t>sekben elégethetők legyenek. A berendezések legtöbbje tüzelőanyag specifikus.</w:t>
      </w:r>
    </w:p>
    <w:p w:rsidR="00F45F50" w:rsidRDefault="00F45F50">
      <w:pPr>
        <w:rPr>
          <w:sz w:val="28"/>
        </w:rPr>
      </w:pP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6pt;margin-top:5.3pt;width:152.05pt;height:124.95pt;z-index:251586048">
            <v:textbox>
              <w:txbxContent>
                <w:p w:rsidR="00F45F50" w:rsidRDefault="00C61EAA">
                  <w:r>
                    <w:rPr>
                      <w:noProof/>
                    </w:rPr>
                    <w:drawing>
                      <wp:inline distT="0" distB="0" distL="0" distR="0">
                        <wp:extent cx="1743075" cy="1485900"/>
                        <wp:effectExtent l="19050" t="0" r="9525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sz w:val="28"/>
          <w:u w:val="single"/>
        </w:rPr>
        <w:t>Bálatüzelés:</w:t>
      </w:r>
      <w:r>
        <w:rPr>
          <w:sz w:val="28"/>
        </w:rPr>
        <w:t xml:space="preserve"> Lágyszárú növények es</w:t>
      </w:r>
      <w:r>
        <w:rPr>
          <w:sz w:val="28"/>
        </w:rPr>
        <w:t>e</w:t>
      </w:r>
      <w:r>
        <w:rPr>
          <w:sz w:val="28"/>
        </w:rPr>
        <w:t>tében alkalmazható. Ez a tüz</w:t>
      </w:r>
      <w:r>
        <w:rPr>
          <w:sz w:val="28"/>
        </w:rPr>
        <w:t>e</w:t>
      </w:r>
      <w:r>
        <w:rPr>
          <w:sz w:val="28"/>
        </w:rPr>
        <w:t>lési mód gyakorlatilag feldolgozást nem igényel, csak a megfelelő tárolásról kell go</w:t>
      </w:r>
      <w:r>
        <w:rPr>
          <w:sz w:val="28"/>
        </w:rPr>
        <w:t>n</w:t>
      </w:r>
      <w:r>
        <w:rPr>
          <w:sz w:val="28"/>
        </w:rPr>
        <w:t>doskodni. Egységnyi hőértékre vetítve a legolcsóbb tüzelési mód. A bálatüz</w:t>
      </w:r>
      <w:r>
        <w:rPr>
          <w:sz w:val="28"/>
        </w:rPr>
        <w:t>e</w:t>
      </w:r>
      <w:r>
        <w:rPr>
          <w:sz w:val="28"/>
        </w:rPr>
        <w:t>lésre alkalmas kazánok alsó nagysá</w:t>
      </w:r>
      <w:r>
        <w:rPr>
          <w:sz w:val="28"/>
        </w:rPr>
        <w:t>g</w:t>
      </w:r>
      <w:r>
        <w:rPr>
          <w:sz w:val="28"/>
        </w:rPr>
        <w:t xml:space="preserve">rendje 3 MW. </w:t>
      </w:r>
      <w:r>
        <w:rPr>
          <w:rStyle w:val="Lbjegyzet-hivatkozs"/>
          <w:sz w:val="28"/>
        </w:rPr>
        <w:footnoteReference w:id="7"/>
      </w:r>
      <w:r>
        <w:rPr>
          <w:sz w:val="28"/>
        </w:rPr>
        <w:t>Ebből következően ez a módszer – kivételes es</w:t>
      </w:r>
      <w:r>
        <w:rPr>
          <w:sz w:val="28"/>
        </w:rPr>
        <w:t>e</w:t>
      </w:r>
      <w:r>
        <w:rPr>
          <w:sz w:val="28"/>
        </w:rPr>
        <w:t>tektől eltekintve – közösségi fűtőműveknél alkalmazh</w:t>
      </w:r>
      <w:r>
        <w:rPr>
          <w:sz w:val="28"/>
        </w:rPr>
        <w:t>a</w:t>
      </w:r>
      <w:r>
        <w:rPr>
          <w:sz w:val="28"/>
        </w:rPr>
        <w:t>tó, ahol:</w:t>
      </w:r>
    </w:p>
    <w:p w:rsidR="00F45F50" w:rsidRDefault="00F45F50">
      <w:pPr>
        <w:numPr>
          <w:ilvl w:val="3"/>
          <w:numId w:val="1"/>
        </w:numPr>
        <w:jc w:val="both"/>
        <w:rPr>
          <w:sz w:val="28"/>
        </w:rPr>
      </w:pPr>
      <w:r>
        <w:rPr>
          <w:sz w:val="28"/>
        </w:rPr>
        <w:t>A fűtőmű elhelyezkedése lehetővé teszi a bálák beszá</w:t>
      </w:r>
      <w:r>
        <w:rPr>
          <w:sz w:val="28"/>
        </w:rPr>
        <w:t>l</w:t>
      </w:r>
      <w:r>
        <w:rPr>
          <w:sz w:val="28"/>
        </w:rPr>
        <w:t>lítását</w:t>
      </w:r>
    </w:p>
    <w:p w:rsidR="00F45F50" w:rsidRDefault="00F45F50">
      <w:pPr>
        <w:numPr>
          <w:ilvl w:val="3"/>
          <w:numId w:val="1"/>
        </w:numPr>
        <w:jc w:val="both"/>
        <w:rPr>
          <w:sz w:val="28"/>
        </w:rPr>
      </w:pPr>
      <w:r>
        <w:rPr>
          <w:sz w:val="28"/>
        </w:rPr>
        <w:t>Elegendő terület áll rendelkezésre a bálák átmeneti t</w:t>
      </w:r>
      <w:r>
        <w:rPr>
          <w:sz w:val="28"/>
        </w:rPr>
        <w:t>á</w:t>
      </w:r>
      <w:r>
        <w:rPr>
          <w:sz w:val="28"/>
        </w:rPr>
        <w:t>rolására</w:t>
      </w:r>
    </w:p>
    <w:p w:rsidR="00F45F50" w:rsidRDefault="00F45F50">
      <w:pPr>
        <w:ind w:left="2520"/>
        <w:jc w:val="both"/>
        <w:rPr>
          <w:sz w:val="28"/>
        </w:rPr>
      </w:pPr>
      <w:r>
        <w:rPr>
          <w:noProof/>
          <w:sz w:val="20"/>
        </w:rPr>
        <w:pict>
          <v:shape id="_x0000_s1030" type="#_x0000_t202" style="position:absolute;left:0;text-align:left;margin-left:297pt;margin-top:13.95pt;width:151.3pt;height:116.85pt;z-index:251584000">
            <v:textbox>
              <w:txbxContent>
                <w:p w:rsidR="00F45F50" w:rsidRDefault="00C61EAA">
                  <w:r>
                    <w:rPr>
                      <w:noProof/>
                    </w:rPr>
                    <w:drawing>
                      <wp:inline distT="0" distB="0" distL="0" distR="0">
                        <wp:extent cx="1733550" cy="1381125"/>
                        <wp:effectExtent l="19050" t="0" r="0" b="0"/>
                        <wp:docPr id="6" name="Kép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  <w:u w:val="single"/>
        </w:rPr>
        <w:t>Apríték tüzelés</w:t>
      </w:r>
      <w:r>
        <w:rPr>
          <w:sz w:val="28"/>
        </w:rPr>
        <w:t>. Apríték alatt elsőso</w:t>
      </w:r>
      <w:r>
        <w:rPr>
          <w:sz w:val="28"/>
        </w:rPr>
        <w:t>r</w:t>
      </w:r>
      <w:r>
        <w:rPr>
          <w:sz w:val="28"/>
        </w:rPr>
        <w:t>ban faaprítékot értünk. Az apríték hőértéke és tüzelhetősége nagymé</w:t>
      </w:r>
      <w:r>
        <w:rPr>
          <w:sz w:val="28"/>
        </w:rPr>
        <w:t>r</w:t>
      </w:r>
      <w:r>
        <w:rPr>
          <w:sz w:val="28"/>
        </w:rPr>
        <w:t>tékben függ annak víz, és háncsta</w:t>
      </w:r>
      <w:r>
        <w:rPr>
          <w:sz w:val="28"/>
        </w:rPr>
        <w:t>r</w:t>
      </w:r>
      <w:r>
        <w:rPr>
          <w:sz w:val="28"/>
        </w:rPr>
        <w:t>talmától. Minden esetben néhány h</w:t>
      </w:r>
      <w:r>
        <w:rPr>
          <w:sz w:val="28"/>
        </w:rPr>
        <w:t>ó</w:t>
      </w:r>
      <w:r>
        <w:rPr>
          <w:sz w:val="28"/>
        </w:rPr>
        <w:t>napos előszárítás, vagy művi szárítást igényel. Az apríték tárolótér igénye az alacsony fajsúlya (0,3 – 0,5 to/m</w:t>
      </w:r>
      <w:r>
        <w:rPr>
          <w:sz w:val="28"/>
          <w:vertAlign w:val="superscript"/>
        </w:rPr>
        <w:t>3</w:t>
      </w:r>
      <w:r>
        <w:rPr>
          <w:sz w:val="28"/>
        </w:rPr>
        <w:t>) miatt igen nagy. Az automata adagolása speciális építményt ig</w:t>
      </w:r>
      <w:r>
        <w:rPr>
          <w:sz w:val="28"/>
        </w:rPr>
        <w:t>é</w:t>
      </w:r>
      <w:r>
        <w:rPr>
          <w:sz w:val="28"/>
        </w:rPr>
        <w:t>nyel. 1,5 MW teljesítmény igény alatt csak egészen kivételes ese</w:t>
      </w:r>
      <w:r>
        <w:rPr>
          <w:sz w:val="28"/>
        </w:rPr>
        <w:t>t</w:t>
      </w:r>
      <w:r>
        <w:rPr>
          <w:sz w:val="28"/>
        </w:rPr>
        <w:t>ben lehet használható. Ez a módot is közösségi fűtőművek esetében célszerű alkalmazni. Az előkészítés energiaigénye valamivel a bál</w:t>
      </w:r>
      <w:r>
        <w:rPr>
          <w:sz w:val="28"/>
        </w:rPr>
        <w:t>a</w:t>
      </w:r>
      <w:r>
        <w:rPr>
          <w:sz w:val="28"/>
        </w:rPr>
        <w:t>tüzelés felett van. Alkalmazhat</w:t>
      </w:r>
      <w:r>
        <w:rPr>
          <w:sz w:val="28"/>
        </w:rPr>
        <w:t>ó</w:t>
      </w:r>
      <w:r>
        <w:rPr>
          <w:sz w:val="28"/>
        </w:rPr>
        <w:t>ságának korlátai azonosak a bálat</w:t>
      </w:r>
      <w:r>
        <w:rPr>
          <w:sz w:val="28"/>
        </w:rPr>
        <w:t>ü</w:t>
      </w:r>
      <w:r>
        <w:rPr>
          <w:sz w:val="28"/>
        </w:rPr>
        <w:t>zeléssel, azzal a megszorítással, hogy az átmeneti tárolásához épí</w:t>
      </w:r>
      <w:r>
        <w:rPr>
          <w:sz w:val="28"/>
        </w:rPr>
        <w:t>t</w:t>
      </w:r>
      <w:r>
        <w:rPr>
          <w:sz w:val="28"/>
        </w:rPr>
        <w:t xml:space="preserve">ményre van szükség. </w:t>
      </w:r>
      <w:r>
        <w:rPr>
          <w:rStyle w:val="Lbjegyzet-hivatkozs"/>
          <w:sz w:val="28"/>
        </w:rPr>
        <w:footnoteReference w:id="8"/>
      </w:r>
      <w:r>
        <w:rPr>
          <w:sz w:val="28"/>
          <w:vertAlign w:val="superscript"/>
        </w:rPr>
        <w:t xml:space="preserve"> </w:t>
      </w:r>
    </w:p>
    <w:p w:rsidR="00F45F50" w:rsidRDefault="00F45F50">
      <w:pPr>
        <w:numPr>
          <w:ilvl w:val="1"/>
          <w:numId w:val="1"/>
        </w:numPr>
        <w:jc w:val="both"/>
        <w:rPr>
          <w:sz w:val="28"/>
        </w:rPr>
      </w:pPr>
      <w:r>
        <w:rPr>
          <w:noProof/>
          <w:sz w:val="20"/>
        </w:rPr>
        <w:pict>
          <v:shape id="_x0000_s1028" type="#_x0000_t202" style="position:absolute;left:0;text-align:left;margin-left:1in;margin-top:215.1pt;width:162pt;height:2in;z-index:251582976">
            <v:textbox>
              <w:txbxContent>
                <w:p w:rsidR="00F45F50" w:rsidRDefault="00C61EAA">
                  <w:r>
                    <w:rPr>
                      <w:noProof/>
                    </w:rPr>
                    <w:drawing>
                      <wp:inline distT="0" distB="0" distL="0" distR="0">
                        <wp:extent cx="1952625" cy="1495425"/>
                        <wp:effectExtent l="19050" t="0" r="9525" b="0"/>
                        <wp:docPr id="4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5F50" w:rsidRDefault="00F45F50">
                  <w:pPr>
                    <w:pStyle w:val="Kpalrs"/>
                  </w:pPr>
                  <w:r>
                    <w:t>Szalmapellet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group id="_x0000_s1036" style="position:absolute;left:0;text-align:left;margin-left:180pt;margin-top:24.2pt;width:279pt;height:153pt;z-index:251585024" coordorigin="1417,7537" coordsize="5580,3060">
            <v:shape id="_x0000_s1026" type="#_x0000_t202" style="position:absolute;left:3937;top:7537;width:3060;height:3022">
              <v:textbox>
                <w:txbxContent>
                  <w:p w:rsidR="00F45F50" w:rsidRDefault="00C61EA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838325" cy="1562100"/>
                          <wp:effectExtent l="19050" t="0" r="9525" b="0"/>
                          <wp:docPr id="3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8325" cy="1562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45F50" w:rsidRDefault="00F45F50">
                    <w:pPr>
                      <w:pStyle w:val="Kpalrs"/>
                    </w:pPr>
                    <w:r>
                      <w:t>Brikett formák</w:t>
                    </w:r>
                  </w:p>
                </w:txbxContent>
              </v:textbox>
            </v:shape>
            <v:shape id="_x0000_s1031" type="#_x0000_t202" style="position:absolute;left:1417;top:7537;width:2523;height:3060">
              <v:textbox>
                <w:txbxContent>
                  <w:p w:rsidR="00F45F50" w:rsidRDefault="00C61EA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409700" cy="1771650"/>
                          <wp:effectExtent l="19050" t="0" r="0" b="0"/>
                          <wp:docPr id="5" name="Kép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0" cy="177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square"/>
          </v:group>
        </w:pict>
      </w:r>
      <w:r>
        <w:rPr>
          <w:sz w:val="28"/>
          <w:u w:val="single"/>
        </w:rPr>
        <w:t>Pellet és Brikett tüzelés</w:t>
      </w:r>
      <w:r>
        <w:rPr>
          <w:sz w:val="28"/>
        </w:rPr>
        <w:t>. Mind a pellet mind a brikett valamilyen tüzelhető bi</w:t>
      </w:r>
      <w:r>
        <w:rPr>
          <w:sz w:val="28"/>
        </w:rPr>
        <w:t>o</w:t>
      </w:r>
      <w:r>
        <w:rPr>
          <w:sz w:val="28"/>
        </w:rPr>
        <w:t>massza „darálék” nagy nyomáson – ragasztóanyag hozzáadásával, vagy a nélkül – való összeprés</w:t>
      </w:r>
      <w:r>
        <w:rPr>
          <w:sz w:val="28"/>
        </w:rPr>
        <w:t>e</w:t>
      </w:r>
      <w:r>
        <w:rPr>
          <w:sz w:val="28"/>
        </w:rPr>
        <w:t>lésével készül. Az előzőekhez viszonyítva az előkészítésének energiaigénye nagyobb. A két technológia mechanizmusában eltér. Ami a végterméket ill</w:t>
      </w:r>
      <w:r>
        <w:rPr>
          <w:sz w:val="28"/>
        </w:rPr>
        <w:t>e</w:t>
      </w:r>
      <w:r>
        <w:rPr>
          <w:sz w:val="28"/>
        </w:rPr>
        <w:t>ti, fűtőértékben nincs különbség, nagyság</w:t>
      </w:r>
      <w:r>
        <w:rPr>
          <w:sz w:val="28"/>
        </w:rPr>
        <w:t>á</w:t>
      </w:r>
      <w:r>
        <w:rPr>
          <w:sz w:val="28"/>
        </w:rPr>
        <w:t>ban azonban igen. A pellet általában hengeres, á</w:t>
      </w:r>
      <w:r>
        <w:rPr>
          <w:sz w:val="28"/>
        </w:rPr>
        <w:t>t</w:t>
      </w:r>
      <w:r>
        <w:rPr>
          <w:sz w:val="28"/>
        </w:rPr>
        <w:t>mérője 7- 20 mm, ho</w:t>
      </w:r>
      <w:r>
        <w:rPr>
          <w:sz w:val="28"/>
        </w:rPr>
        <w:t>s</w:t>
      </w:r>
      <w:r>
        <w:rPr>
          <w:sz w:val="28"/>
        </w:rPr>
        <w:t>sza 30 mm. A brikett változatos alakú lehet a minimális mérete 30 mm. Mind a pellet mind a brikett az egyedi fűtési rendszerekhez javasolt. Ezeknél a rendsz</w:t>
      </w:r>
      <w:r>
        <w:rPr>
          <w:sz w:val="28"/>
        </w:rPr>
        <w:t>e</w:t>
      </w:r>
      <w:r>
        <w:rPr>
          <w:sz w:val="28"/>
        </w:rPr>
        <w:t>reknél a teljesítmény igény általában 1 MW alatt van. Ebben a nagyságrendben nem oldható meg sem a bála, sem pedig az apríték tüzelés, és a tárolás (beszállítás) sem oldható meg. A brikettet ill</w:t>
      </w:r>
      <w:r>
        <w:rPr>
          <w:sz w:val="28"/>
        </w:rPr>
        <w:t>e</w:t>
      </w:r>
      <w:r>
        <w:rPr>
          <w:sz w:val="28"/>
        </w:rPr>
        <w:t>tően meg kell jegyezni, hogy az automataadagolás valój</w:t>
      </w:r>
      <w:r>
        <w:rPr>
          <w:sz w:val="28"/>
        </w:rPr>
        <w:t>á</w:t>
      </w:r>
      <w:r>
        <w:rPr>
          <w:sz w:val="28"/>
        </w:rPr>
        <w:t>ban csak a 35 mm - nél nem nagyobb méretnél megoldott. Mind a pellet mind a brikett esetében meg kell különböztetni a fából, illetve a lágyszárú növényekből készült tüzelőanyagot. Nyugaton szinte kizárólagos a fából készült pellet használata. Kezdetben nálunk is kizárólag e</w:t>
      </w:r>
      <w:r>
        <w:rPr>
          <w:sz w:val="28"/>
        </w:rPr>
        <w:t>b</w:t>
      </w:r>
      <w:r>
        <w:rPr>
          <w:sz w:val="28"/>
        </w:rPr>
        <w:t>ben gondolkodtak. A jelenleg működő pelettáló üzemek főleg f</w:t>
      </w:r>
      <w:r>
        <w:rPr>
          <w:sz w:val="28"/>
        </w:rPr>
        <w:t>a</w:t>
      </w:r>
      <w:r>
        <w:rPr>
          <w:sz w:val="28"/>
        </w:rPr>
        <w:t>ipari hulladékot használnak alapanyagként. Mind a pelletet, mind a brikettet illetően a legnagyobb probléma az eltérő minőség. Ami a tüzelőberendezéseket illeti. Az itt szükséges nag</w:t>
      </w:r>
      <w:r>
        <w:rPr>
          <w:sz w:val="28"/>
        </w:rPr>
        <w:t>y</w:t>
      </w:r>
      <w:r>
        <w:rPr>
          <w:sz w:val="28"/>
        </w:rPr>
        <w:t>ságrendű (1MW alatti) kazánok számos forgalmazónál kaphatók. Az ár szóródása óriási. (19 000 – 50 000Ft/kW) Ezek a külföldi kazánok mind sz</w:t>
      </w:r>
      <w:r>
        <w:rPr>
          <w:sz w:val="28"/>
        </w:rPr>
        <w:t>i</w:t>
      </w:r>
      <w:r>
        <w:rPr>
          <w:sz w:val="28"/>
        </w:rPr>
        <w:t>gorúan meghatározott fűtőértékű, és égési tulajdonságú tüzel</w:t>
      </w:r>
      <w:r>
        <w:rPr>
          <w:sz w:val="28"/>
        </w:rPr>
        <w:t>ő</w:t>
      </w:r>
      <w:r>
        <w:rPr>
          <w:sz w:val="28"/>
        </w:rPr>
        <w:t>anyagra készültek. Ebben a nagyságrendben – 30 – 400 kW hazai gyártó a CARBOROBOT Kft, amely elsősorban lágyszárú növ</w:t>
      </w:r>
      <w:r>
        <w:rPr>
          <w:sz w:val="28"/>
        </w:rPr>
        <w:t>é</w:t>
      </w:r>
      <w:r>
        <w:rPr>
          <w:sz w:val="28"/>
        </w:rPr>
        <w:t>nyekből készült pellet tüzelésre alkalmas automataadagolású kaz</w:t>
      </w:r>
      <w:r>
        <w:rPr>
          <w:sz w:val="28"/>
        </w:rPr>
        <w:t>á</w:t>
      </w:r>
      <w:r>
        <w:rPr>
          <w:sz w:val="28"/>
        </w:rPr>
        <w:t xml:space="preserve">nokat gyárt. </w:t>
      </w:r>
      <w:r>
        <w:rPr>
          <w:rStyle w:val="Lbjegyzet-hivatkozs"/>
          <w:sz w:val="28"/>
        </w:rPr>
        <w:footnoteReference w:id="9"/>
      </w:r>
    </w:p>
    <w:p w:rsidR="00F45F50" w:rsidRDefault="00F45F50">
      <w:pPr>
        <w:ind w:left="1080"/>
        <w:jc w:val="both"/>
        <w:rPr>
          <w:sz w:val="28"/>
        </w:rPr>
      </w:pPr>
    </w:p>
    <w:tbl>
      <w:tblPr>
        <w:tblpPr w:leftFromText="141" w:rightFromText="141" w:vertAnchor="text" w:horzAnchor="margin" w:tblpY="98"/>
        <w:tblW w:w="8780" w:type="dxa"/>
        <w:tblCellMar>
          <w:left w:w="0" w:type="dxa"/>
          <w:right w:w="0" w:type="dxa"/>
        </w:tblCellMar>
        <w:tblLook w:val="0000"/>
      </w:tblPr>
      <w:tblGrid>
        <w:gridCol w:w="2540"/>
        <w:gridCol w:w="1060"/>
        <w:gridCol w:w="1060"/>
        <w:gridCol w:w="900"/>
        <w:gridCol w:w="1180"/>
        <w:gridCol w:w="960"/>
        <w:gridCol w:w="1080"/>
      </w:tblGrid>
      <w:tr w:rsidR="00F45F50">
        <w:trPr>
          <w:trHeight w:val="540"/>
        </w:trPr>
        <w:tc>
          <w:tcPr>
            <w:tcW w:w="8780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Különféle tüzelési rendszerek energia hatékonysága és energia árak vásárolt tüzelőanyag esetén átlagos piaci árakkak számolva</w:t>
            </w:r>
          </w:p>
        </w:tc>
      </w:tr>
      <w:tr w:rsidR="00F45F50">
        <w:trPr>
          <w:trHeight w:val="540"/>
        </w:trPr>
        <w:tc>
          <w:tcPr>
            <w:tcW w:w="254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Bála tüz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lés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Apríték tüzelés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Lágyszárú pellet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 pellet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Brikett</w:t>
            </w:r>
          </w:p>
        </w:tc>
      </w:tr>
      <w:tr w:rsidR="00F45F50">
        <w:trPr>
          <w:cantSplit/>
          <w:trHeight w:val="270"/>
        </w:trPr>
        <w:tc>
          <w:tcPr>
            <w:tcW w:w="254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Az előkészítés energia szükséglete Mj/tonna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</w:tr>
      <w:tr w:rsidR="00F45F50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640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Fűtőérték  Mj/kg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Átlag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Piaci ár Ft/tonna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Átlag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40 000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Feldolgozás vesztesége%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Átlag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Veszteséggel növelt ár Ft/to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Átlag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33 333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44 444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43 956</w:t>
            </w:r>
          </w:p>
        </w:tc>
      </w:tr>
      <w:tr w:rsidR="00F45F50">
        <w:trPr>
          <w:cantSplit/>
          <w:trHeight w:val="255"/>
        </w:trPr>
        <w:tc>
          <w:tcPr>
            <w:tcW w:w="254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Kihozható nettó energia 85 %-os kazán hatásfokkal Mj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13 175</w:t>
            </w:r>
          </w:p>
        </w:tc>
      </w:tr>
      <w:tr w:rsidR="00F45F50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13 056</w:t>
            </w:r>
          </w:p>
        </w:tc>
      </w:tr>
      <w:tr w:rsidR="00F45F50">
        <w:trPr>
          <w:cantSplit/>
          <w:trHeight w:val="255"/>
        </w:trPr>
        <w:tc>
          <w:tcPr>
            <w:tcW w:w="0" w:type="auto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Kihozható nettó energia 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82,34</w:t>
            </w:r>
          </w:p>
        </w:tc>
      </w:tr>
      <w:tr w:rsidR="00F45F50">
        <w:trPr>
          <w:cantSplit/>
          <w:trHeight w:val="27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81,60</w:t>
            </w:r>
          </w:p>
        </w:tc>
      </w:tr>
      <w:tr w:rsidR="00F45F50">
        <w:trPr>
          <w:cantSplit/>
          <w:trHeight w:val="270"/>
        </w:trPr>
        <w:tc>
          <w:tcPr>
            <w:tcW w:w="25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Kihozható nettó energia bruttó ára Ft/Mj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3,34</w:t>
            </w:r>
          </w:p>
        </w:tc>
      </w:tr>
      <w:tr w:rsidR="00F45F50">
        <w:trPr>
          <w:cantSplit/>
          <w:trHeight w:val="270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maximum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3,21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3,37</w:t>
            </w:r>
          </w:p>
        </w:tc>
      </w:tr>
    </w:tbl>
    <w:p w:rsidR="00F45F50" w:rsidRDefault="00C61EAA">
      <w:pPr>
        <w:jc w:val="both"/>
      </w:pPr>
      <w:r>
        <w:rPr>
          <w:noProof/>
        </w:rPr>
        <w:drawing>
          <wp:inline distT="0" distB="0" distL="0" distR="0">
            <wp:extent cx="5753100" cy="2771775"/>
            <wp:effectExtent l="0" t="0" r="0" b="0"/>
            <wp:docPr id="1" name="Objektu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45F50" w:rsidRDefault="00F45F50">
      <w:pPr>
        <w:pStyle w:val="Cmsor3"/>
        <w:numPr>
          <w:ilvl w:val="0"/>
          <w:numId w:val="1"/>
        </w:numPr>
      </w:pPr>
      <w:r>
        <w:t>A jelenlegi helyzet</w:t>
      </w:r>
    </w:p>
    <w:p w:rsidR="00F45F50" w:rsidRDefault="00F45F50">
      <w:pPr>
        <w:jc w:val="both"/>
        <w:rPr>
          <w:color w:val="0000FF"/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sz w:val="28"/>
        </w:rPr>
        <w:t>Annak ellenére, hogy elegendő biomasszával rendelkezünk, amelyet ma nem használunk fel, a begyűjtés és felhasználás technikai feltételei rendelkezésre ál</w:t>
      </w:r>
      <w:r>
        <w:rPr>
          <w:sz w:val="28"/>
        </w:rPr>
        <w:t>l</w:t>
      </w:r>
      <w:r>
        <w:rPr>
          <w:sz w:val="28"/>
        </w:rPr>
        <w:t>nak, a technológia ismert, a beruházási támogatás jelentős, a fűtés költségei l</w:t>
      </w:r>
      <w:r>
        <w:rPr>
          <w:sz w:val="28"/>
        </w:rPr>
        <w:t>é</w:t>
      </w:r>
      <w:r>
        <w:rPr>
          <w:sz w:val="28"/>
        </w:rPr>
        <w:t>nyegesen olcsóbbá tehető, mégis alig néhány helyen élnek a biomassza fűtés l</w:t>
      </w:r>
      <w:r>
        <w:rPr>
          <w:sz w:val="28"/>
        </w:rPr>
        <w:t>e</w:t>
      </w:r>
      <w:r>
        <w:rPr>
          <w:sz w:val="28"/>
        </w:rPr>
        <w:t>hetőségével.</w:t>
      </w:r>
      <w:r>
        <w:rPr>
          <w:rStyle w:val="Lbjegyzet-hivatkozs"/>
          <w:sz w:val="28"/>
        </w:rPr>
        <w:footnoteReference w:id="10"/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  <w:u w:val="single"/>
        </w:rPr>
      </w:pPr>
      <w:r>
        <w:rPr>
          <w:sz w:val="28"/>
          <w:u w:val="single"/>
        </w:rPr>
        <w:t>Ennek okai:</w: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Az önkormányzatok a nagyarányú támogatás mellett sem, tudják a szü</w:t>
      </w:r>
      <w:r>
        <w:rPr>
          <w:sz w:val="28"/>
        </w:rPr>
        <w:t>k</w:t>
      </w:r>
      <w:r>
        <w:rPr>
          <w:sz w:val="28"/>
        </w:rPr>
        <w:t>séges minimális saját erőt sem biztosítani.</w:t>
      </w: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Az önkormányzatok döntő többségében nincs fűtőmű (egyedi fűtési ren</w:t>
      </w:r>
      <w:r>
        <w:rPr>
          <w:sz w:val="28"/>
        </w:rPr>
        <w:t>d</w:t>
      </w:r>
      <w:r>
        <w:rPr>
          <w:sz w:val="28"/>
        </w:rPr>
        <w:t>szer van). Ezeken a helyeken csak a pellet fűtés jöhetne szóba. A pellet „termékpálya” nem kialakult. A kapható pelletek fűtőértéke, és égési t</w:t>
      </w:r>
      <w:r>
        <w:rPr>
          <w:sz w:val="28"/>
        </w:rPr>
        <w:t>u</w:t>
      </w:r>
      <w:r>
        <w:rPr>
          <w:sz w:val="28"/>
        </w:rPr>
        <w:t>lajdonságai bizonytalanok, csak úgy, mint a beszerezhetőség. A jelenlegi piaci árak is meg lehetősen magasak a hazai gáz árhoz viszonyítva.</w:t>
      </w:r>
      <w:r>
        <w:rPr>
          <w:rStyle w:val="Lbjegyzet-hivatkozs"/>
          <w:sz w:val="28"/>
        </w:rPr>
        <w:footnoteReference w:id="11"/>
      </w: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Az önkormányzati vezetők szemléletében nincs megfelelő helyen ez a l</w:t>
      </w:r>
      <w:r>
        <w:rPr>
          <w:sz w:val="28"/>
        </w:rPr>
        <w:t>e</w:t>
      </w:r>
      <w:r>
        <w:rPr>
          <w:sz w:val="28"/>
        </w:rPr>
        <w:t>hetőség, mert:</w:t>
      </w:r>
    </w:p>
    <w:p w:rsidR="00F45F50" w:rsidRDefault="00F45F50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A néhány jó példa nem kapott megfelelő helyet a kommunikáci</w:t>
      </w:r>
      <w:r>
        <w:rPr>
          <w:sz w:val="28"/>
        </w:rPr>
        <w:t>ó</w:t>
      </w:r>
      <w:r>
        <w:rPr>
          <w:sz w:val="28"/>
        </w:rPr>
        <w:t>ban.</w:t>
      </w:r>
    </w:p>
    <w:p w:rsidR="00F45F50" w:rsidRDefault="00F45F50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A központi energiapolitika sem ezt a biomassza felhasználási m</w:t>
      </w:r>
      <w:r>
        <w:rPr>
          <w:sz w:val="28"/>
        </w:rPr>
        <w:t>ó</w:t>
      </w:r>
      <w:r>
        <w:rPr>
          <w:sz w:val="28"/>
        </w:rPr>
        <w:t>dot helyezi előtérbe.</w:t>
      </w:r>
    </w:p>
    <w:p w:rsidR="00F45F50" w:rsidRDefault="00F45F50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Nem ismerik megfelelően a beruházás támogatási és egyéb lehet</w:t>
      </w:r>
      <w:r>
        <w:rPr>
          <w:sz w:val="28"/>
        </w:rPr>
        <w:t>ő</w:t>
      </w:r>
      <w:r>
        <w:rPr>
          <w:sz w:val="28"/>
        </w:rPr>
        <w:t>ségeket.</w:t>
      </w:r>
    </w:p>
    <w:p w:rsidR="00F45F50" w:rsidRDefault="00F45F50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Bonyolult a pályázati és engedélyezési rendszer.</w:t>
      </w:r>
    </w:p>
    <w:p w:rsidR="00F45F50" w:rsidRDefault="00F45F50">
      <w:pPr>
        <w:ind w:left="1080"/>
        <w:jc w:val="both"/>
        <w:rPr>
          <w:sz w:val="28"/>
        </w:rPr>
      </w:pPr>
    </w:p>
    <w:p w:rsidR="00F45F50" w:rsidRDefault="00F45F50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Az önkormányzatok magukban a legritkább esetben tudnák a szükséges beruházást megvalósítani a magas támogatási intenzitás ellenére is a ko</w:t>
      </w:r>
      <w:r>
        <w:rPr>
          <w:sz w:val="28"/>
        </w:rPr>
        <w:t>r</w:t>
      </w:r>
      <w:r>
        <w:rPr>
          <w:sz w:val="28"/>
        </w:rPr>
        <w:t>látozott „hitelképességük” miatt</w:t>
      </w:r>
    </w:p>
    <w:p w:rsidR="00F45F50" w:rsidRDefault="00F45F50">
      <w:pPr>
        <w:pStyle w:val="Szvegtrzsbehzssal"/>
      </w:pPr>
      <w:r>
        <w:t>A legnagyobb probléma azonban az, hogy a gázfűtés kiváltására nem ren</w:t>
      </w:r>
      <w:r>
        <w:t>d</w:t>
      </w:r>
      <w:r>
        <w:t>szerként tekintenek. A továbbiakban felvázolunk egy olyan rendszert, amely lehetővé teszi az önkormányzati intézményekben a gázfűtés kiváltását. E rendszernek egyaránt része a szervezet, az eszközök, a technológia, a logis</w:t>
      </w:r>
      <w:r>
        <w:t>z</w:t>
      </w:r>
      <w:r>
        <w:t>tika, a szereplők kapcsolatai, és a rendszer megszervezése is.</w:t>
      </w:r>
    </w:p>
    <w:p w:rsidR="00F45F50" w:rsidRDefault="00F45F50">
      <w:pPr>
        <w:pStyle w:val="Cmsor4"/>
        <w:numPr>
          <w:ilvl w:val="0"/>
          <w:numId w:val="1"/>
        </w:numPr>
      </w:pPr>
      <w:r>
        <w:t>a Javasolt rendszer és az elemek kapcsolódása</w:t>
      </w:r>
    </w:p>
    <w:p w:rsidR="00F45F50" w:rsidRDefault="00F45F50">
      <w:pPr>
        <w:ind w:left="360"/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rect id="_x0000_s1105" style="position:absolute;left:0;text-align:left;margin-left:-9pt;margin-top:-17.85pt;width:7in;height:639pt;z-index:251656704" filled="f" strokecolor="red" strokeweight="6pt">
            <v:stroke linestyle="thinThin"/>
          </v:rect>
        </w:pict>
      </w:r>
      <w:r>
        <w:rPr>
          <w:noProof/>
          <w:sz w:val="20"/>
        </w:rPr>
        <w:pict>
          <v:shape id="_x0000_s1037" type="#_x0000_t202" style="position:absolute;left:0;text-align:left;margin-left:81pt;margin-top:9pt;width:81pt;height:27pt;z-index:251587072">
            <v:textbox>
              <w:txbxContent>
                <w:p w:rsidR="00F45F50" w:rsidRDefault="00F45F50">
                  <w:pPr>
                    <w:jc w:val="both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Szervezet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00" style="position:absolute;left:0;text-align:left;flip:y;z-index:251651584" from="45pt,3.8pt" to="81pt,39.8pt" strokeweight="1.5pt">
            <v:stroke endarrow="block"/>
          </v:line>
        </w:pict>
      </w:r>
      <w:r>
        <w:rPr>
          <w:noProof/>
          <w:sz w:val="20"/>
        </w:rPr>
        <w:pict>
          <v:line id="_x0000_s1061" style="position:absolute;left:0;text-align:left;z-index:251611648" from="117pt,3.8pt" to="117pt,75.8pt"/>
        </w:pict>
      </w:r>
      <w:r>
        <w:rPr>
          <w:noProof/>
          <w:sz w:val="20"/>
        </w:rPr>
        <w:pict>
          <v:shape id="_x0000_s1038" type="#_x0000_t202" style="position:absolute;left:0;text-align:left;margin-left:2in;margin-top:12.8pt;width:126pt;height:18pt;z-index:251588096">
            <v:textbox>
              <w:txbxContent>
                <w:p w:rsidR="00F45F50" w:rsidRDefault="00F45F50">
                  <w:pPr>
                    <w:jc w:val="both"/>
                  </w:pPr>
                  <w:r>
                    <w:t>Tulajdonosi összetétel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65" style="position:absolute;left:0;text-align:left;flip:y;z-index:251615744" from="243pt,14.7pt" to="306pt,32.7pt">
            <v:stroke endarrow="block"/>
          </v:line>
        </w:pict>
      </w:r>
      <w:r>
        <w:rPr>
          <w:noProof/>
          <w:sz w:val="20"/>
        </w:rPr>
        <w:pict>
          <v:line id="_x0000_s1063" style="position:absolute;left:0;text-align:left;z-index:251613696" from="117pt,5.7pt" to="2in,5.7pt">
            <v:stroke endarrow="block"/>
          </v:line>
        </w:pict>
      </w:r>
      <w:r>
        <w:rPr>
          <w:noProof/>
          <w:sz w:val="20"/>
        </w:rPr>
        <w:pict>
          <v:shape id="_x0000_s1048" type="#_x0000_t202" style="position:absolute;left:0;text-align:left;margin-left:306pt;margin-top:5.7pt;width:108pt;height:18pt;z-index:251598336">
            <v:textbox inset=",0">
              <w:txbxContent>
                <w:p w:rsidR="00F45F50" w:rsidRDefault="00F45F50">
                  <w:pPr>
                    <w:jc w:val="both"/>
                  </w:pPr>
                  <w:r>
                    <w:t>Rendszer ismerete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41" type="#_x0000_t202" style="position:absolute;left:0;text-align:left;margin-left:9pt;margin-top:7.6pt;width:36pt;height:396pt;z-index:251591168">
            <v:textbox>
              <w:txbxContent>
                <w:p w:rsidR="00F45F50" w:rsidRDefault="00F45F50">
                  <w:pPr>
                    <w:pStyle w:val="Cmsor1"/>
                  </w:pPr>
                  <w:r>
                    <w:t>H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Ő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E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L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L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Á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T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Á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S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I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R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E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N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D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S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Z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E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R</w:t>
                  </w:r>
                </w:p>
                <w:p w:rsidR="00F45F50" w:rsidRDefault="00F45F50">
                  <w:pPr>
                    <w:jc w:val="center"/>
                    <w:rPr>
                      <w:b/>
                      <w:bCs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7" type="#_x0000_t202" style="position:absolute;left:0;text-align:left;margin-left:2in;margin-top:7.6pt;width:99pt;height:18pt;z-index:251597312">
            <v:textbox inset=",0">
              <w:txbxContent>
                <w:p w:rsidR="00F45F50" w:rsidRDefault="00F45F50">
                  <w:pPr>
                    <w:jc w:val="both"/>
                  </w:pPr>
                  <w:r>
                    <w:t>Menedzsment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64" style="position:absolute;left:0;text-align:left;z-index:251614720" from="117pt,.5pt" to="2in,.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39" type="#_x0000_t202" style="position:absolute;left:0;text-align:left;margin-left:180pt;margin-top:2.25pt;width:180pt;height:18pt;z-index:251589120">
            <v:textbox inset=",0">
              <w:txbxContent>
                <w:p w:rsidR="00F45F50" w:rsidRDefault="00F45F50">
                  <w:pPr>
                    <w:jc w:val="center"/>
                  </w:pPr>
                  <w:r>
                    <w:t>Üzemeltetésre képes dolgozók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62" style="position:absolute;left:0;text-align:left;z-index:251612672" from="117pt,11.4pt" to="180pt,11.4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42" type="#_x0000_t202" style="position:absolute;left:0;text-align:left;margin-left:396pt;margin-top:13.3pt;width:1in;height:27pt;z-index:251592192">
            <v:textbox inset="0,0,0,0"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A befektetés gyors megtérülése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46" type="#_x0000_t202" style="position:absolute;left:0;text-align:left;margin-left:90pt;margin-top:11.9pt;width:180pt;height:63pt;z-index:251596288">
            <v:textbox>
              <w:txbxContent>
                <w:p w:rsidR="00F45F50" w:rsidRDefault="00F45F50">
                  <w:pPr>
                    <w:pStyle w:val="Szvegtrzs"/>
                  </w:pPr>
                  <w:r>
                    <w:t>Érdekeltség megtere</w:t>
                  </w:r>
                  <w:r>
                    <w:t>m</w:t>
                  </w:r>
                  <w:r>
                    <w:t>tése minden sz</w:t>
                  </w:r>
                  <w:r>
                    <w:t>e</w:t>
                  </w:r>
                  <w:r>
                    <w:t>replő számára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85" style="position:absolute;left:0;text-align:left;flip:y;z-index:251636224" from="369pt,6.2pt" to="396pt,15.2pt">
            <v:stroke endarrow="block"/>
          </v:line>
        </w:pict>
      </w:r>
      <w:r>
        <w:rPr>
          <w:noProof/>
          <w:sz w:val="20"/>
        </w:rPr>
        <w:pict>
          <v:line id="_x0000_s1066" style="position:absolute;left:0;text-align:left;flip:y;z-index:251616768" from="270pt,15.2pt" to="297pt,42.2pt">
            <v:stroke endarrow="block"/>
          </v:line>
        </w:pict>
      </w:r>
      <w:r>
        <w:rPr>
          <w:noProof/>
          <w:sz w:val="20"/>
        </w:rPr>
        <w:pict>
          <v:shape id="_x0000_s1045" type="#_x0000_t202" style="position:absolute;left:0;text-align:left;margin-left:297pt;margin-top:6.2pt;width:1in;height:18pt;z-index:251595264">
            <v:textbox inset="0,0,0,0">
              <w:txbxContent>
                <w:p w:rsidR="00F45F50" w:rsidRDefault="00F45F50">
                  <w:pPr>
                    <w:jc w:val="both"/>
                  </w:pPr>
                  <w:r>
                    <w:t>Tulajdonosok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86" style="position:absolute;left:0;text-align:left;z-index:251637248" from="369pt,10pt" to="396pt,10pt">
            <v:stroke endarrow="block"/>
          </v:line>
        </w:pict>
      </w:r>
      <w:r>
        <w:rPr>
          <w:noProof/>
          <w:sz w:val="20"/>
        </w:rPr>
        <w:pict>
          <v:shape id="_x0000_s1082" type="#_x0000_t202" style="position:absolute;left:0;text-align:left;margin-left:396pt;margin-top:1pt;width:90pt;height:9pt;z-index:251633152">
            <v:textbox inset="0,0,0,0"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Jövedelem real</w:t>
                  </w:r>
                  <w:r>
                    <w:rPr>
                      <w:b/>
                      <w:bCs/>
                      <w:sz w:val="18"/>
                    </w:rPr>
                    <w:t>i</w:t>
                  </w:r>
                  <w:r>
                    <w:rPr>
                      <w:b/>
                      <w:bCs/>
                      <w:sz w:val="18"/>
                    </w:rPr>
                    <w:t>zálása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67" style="position:absolute;left:0;text-align:left;flip:y;z-index:251617792" from="270pt,10pt" to="297pt,19pt">
            <v:stroke endarrow="block"/>
          </v:line>
        </w:pict>
      </w:r>
      <w:r>
        <w:rPr>
          <w:noProof/>
          <w:sz w:val="20"/>
        </w:rPr>
        <w:pict>
          <v:shape id="_x0000_s1051" type="#_x0000_t202" style="position:absolute;left:0;text-align:left;margin-left:297pt;margin-top:1.15pt;width:1in;height:18pt;z-index:251601408">
            <v:textbox inset="0,0,0,0">
              <w:txbxContent>
                <w:p w:rsidR="00F45F50" w:rsidRDefault="00F45F50">
                  <w:pPr>
                    <w:jc w:val="center"/>
                  </w:pPr>
                  <w:r>
                    <w:t>Beszállítók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01" style="position:absolute;left:0;text-align:left;z-index:251652608" from="45pt,2.9pt" to="90pt,2.9pt" strokeweight="1.5pt">
            <v:stroke endarrow="block"/>
          </v:line>
        </w:pict>
      </w:r>
      <w:r>
        <w:rPr>
          <w:noProof/>
          <w:sz w:val="20"/>
        </w:rPr>
        <w:pict>
          <v:line id="_x0000_s1068" style="position:absolute;left:0;text-align:left;z-index:251618816" from="270pt,11.9pt" to="279pt,11.9pt">
            <v:stroke endarrow="block"/>
          </v:line>
        </w:pict>
      </w:r>
      <w:r>
        <w:rPr>
          <w:noProof/>
          <w:sz w:val="20"/>
        </w:rPr>
        <w:pict>
          <v:shape id="_x0000_s1052" type="#_x0000_t202" style="position:absolute;left:0;text-align:left;margin-left:279pt;margin-top:11.9pt;width:90pt;height:36pt;z-index:251602432">
            <v:textbox inset="0,0,0,0">
              <w:txbxContent>
                <w:p w:rsidR="00F45F50" w:rsidRDefault="00F45F50">
                  <w:pPr>
                    <w:jc w:val="center"/>
                  </w:pPr>
                  <w:r>
                    <w:t>Felhasználók (Önkormányza</w:t>
                  </w:r>
                  <w:r>
                    <w:t>t</w:t>
                  </w:r>
                  <w:r>
                    <w:t>ok)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87" style="position:absolute;left:0;text-align:left;flip:y;z-index:251638272" from="369pt,11.9pt" to="387pt,20.9pt">
            <v:stroke endarrow="block"/>
          </v:line>
        </w:pict>
      </w:r>
      <w:r>
        <w:rPr>
          <w:noProof/>
          <w:sz w:val="20"/>
        </w:rPr>
        <w:pict>
          <v:shape id="_x0000_s1083" type="#_x0000_t202" style="position:absolute;left:0;text-align:left;margin-left:387pt;margin-top:2.9pt;width:1in;height:9pt;z-index:251634176">
            <v:textbox inset="0,0,0,0"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Olcsóbb fűtés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73" style="position:absolute;left:0;text-align:left;z-index:251623936" from="171pt,4.8pt" to="171pt,40.8pt">
            <v:stroke endarrow="block"/>
          </v:line>
        </w:pict>
      </w:r>
      <w:r>
        <w:rPr>
          <w:noProof/>
          <w:sz w:val="20"/>
        </w:rPr>
        <w:pict>
          <v:line id="_x0000_s1088" style="position:absolute;left:0;text-align:left;z-index:251639296" from="369pt,13.8pt" to="387pt,13.8pt">
            <v:stroke endarrow="block"/>
          </v:line>
        </w:pict>
      </w:r>
      <w:r>
        <w:rPr>
          <w:noProof/>
          <w:sz w:val="20"/>
        </w:rPr>
        <w:pict>
          <v:shape id="_x0000_s1084" type="#_x0000_t202" style="position:absolute;left:0;text-align:left;margin-left:387pt;margin-top:4.8pt;width:1in;height:9pt;z-index:251635200">
            <v:textbox inset="0,0,0,0"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Foglalkotatás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89" type="#_x0000_t202" style="position:absolute;left:0;text-align:left;margin-left:387pt;margin-top:6.7pt;width:1in;height:9pt;z-index:251640320">
            <v:textbox inset="0,0,0,0"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18"/>
                    </w:rPr>
                  </w:pPr>
                  <w:r>
                    <w:rPr>
                      <w:b/>
                      <w:bCs/>
                      <w:sz w:val="18"/>
                    </w:rPr>
                    <w:t>Adóbevétel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90" style="position:absolute;left:0;text-align:left;z-index:251641344" from="369pt,6.7pt" to="387pt,15.7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60" type="#_x0000_t202" style="position:absolute;left:0;text-align:left;margin-left:99pt;margin-top:6.7pt;width:135pt;height:27pt;z-index:251610624" fillcolor="#cfc">
            <v:textbox inset=",0,,0">
              <w:txbxContent>
                <w:p w:rsidR="00F45F50" w:rsidRDefault="00F45F50">
                  <w:pPr>
                    <w:pStyle w:val="Szvegtrzs3"/>
                  </w:pPr>
                  <w:r>
                    <w:t>Átlátható elszámolási rendszer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53" type="#_x0000_t202" style="position:absolute;left:0;text-align:left;margin-left:4in;margin-top:4.8pt;width:2in;height:18pt;z-index:251603456">
            <v:textbox inset=",0,,0">
              <w:txbxContent>
                <w:p w:rsidR="00F45F50" w:rsidRDefault="00F45F50">
                  <w:r>
                    <w:t>Üzemeltetési szerződések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74" style="position:absolute;left:0;text-align:left;flip:y;z-index:251624960" from="171pt,1.5pt" to="171pt,21.4pt">
            <v:stroke endarrow="block"/>
          </v:line>
        </w:pict>
      </w:r>
      <w:r>
        <w:rPr>
          <w:noProof/>
          <w:sz w:val="20"/>
        </w:rPr>
        <w:pict>
          <v:line id="_x0000_s1069" style="position:absolute;left:0;text-align:left;flip:y;z-index:251619840" from="261pt,1.5pt" to="4in,28.5pt">
            <v:stroke endarrow="block"/>
          </v:line>
        </w:pict>
      </w:r>
      <w:r>
        <w:rPr>
          <w:noProof/>
          <w:sz w:val="20"/>
        </w:rPr>
        <w:pict>
          <v:shape id="_x0000_s1054" type="#_x0000_t202" style="position:absolute;left:0;text-align:left;margin-left:4in;margin-top:15.7pt;width:2in;height:18pt;z-index:251604480">
            <v:textbox inset=",0,,0">
              <w:txbxContent>
                <w:p w:rsidR="00F45F50" w:rsidRDefault="00F45F50">
                  <w:r>
                    <w:t>Bérleti szerződések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70" style="position:absolute;left:0;text-align:left;flip:y;z-index:251620864" from="261pt,12.4pt" to="4in,21.4pt">
            <v:stroke endarrow="block"/>
          </v:line>
        </w:pict>
      </w:r>
      <w:r>
        <w:rPr>
          <w:noProof/>
          <w:sz w:val="20"/>
        </w:rPr>
        <w:pict>
          <v:shape id="_x0000_s1050" type="#_x0000_t202" style="position:absolute;left:0;text-align:left;margin-left:90pt;margin-top:8.6pt;width:171pt;height:39.8pt;z-index:251600384">
            <v:textbox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Szabályozott hosszú távú szerződéses kapcsol</w:t>
                  </w:r>
                  <w:r>
                    <w:rPr>
                      <w:b/>
                      <w:bCs/>
                      <w:sz w:val="28"/>
                    </w:rPr>
                    <w:t>a</w:t>
                  </w:r>
                  <w:r>
                    <w:rPr>
                      <w:b/>
                      <w:bCs/>
                      <w:sz w:val="28"/>
                    </w:rPr>
                    <w:t>tok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02" style="position:absolute;left:0;text-align:left;z-index:251653632" from="45pt,7.2pt" to="90pt,7.2pt" strokeweight="1.5pt">
            <v:stroke endarrow="block"/>
          </v:line>
        </w:pict>
      </w:r>
      <w:r>
        <w:rPr>
          <w:noProof/>
          <w:sz w:val="20"/>
        </w:rPr>
        <w:pict>
          <v:line id="_x0000_s1071" style="position:absolute;left:0;text-align:left;z-index:251621888" from="261pt,14.3pt" to="4in,14.3pt">
            <v:stroke endarrow="block"/>
          </v:line>
        </w:pict>
      </w:r>
      <w:r>
        <w:rPr>
          <w:noProof/>
          <w:sz w:val="20"/>
        </w:rPr>
        <w:pict>
          <v:shape id="_x0000_s1055" type="#_x0000_t202" style="position:absolute;left:0;text-align:left;margin-left:4in;margin-top:10.5pt;width:2in;height:18pt;z-index:251605504">
            <v:textbox inset=",0,,0">
              <w:txbxContent>
                <w:p w:rsidR="00F45F50" w:rsidRDefault="00F45F50">
                  <w:r>
                    <w:t>Beszállítói szerződések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72" style="position:absolute;left:0;text-align:left;z-index:251622912" from="261pt,7.2pt" to="4in,25.2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56" type="#_x0000_t202" style="position:absolute;left:0;text-align:left;margin-left:4in;margin-top:.15pt;width:2in;height:27pt;z-index:251606528">
            <v:textbox inset=",0,,0">
              <w:txbxContent>
                <w:p w:rsidR="00F45F50" w:rsidRDefault="00F45F50">
                  <w:pPr>
                    <w:pStyle w:val="Szvegtrzs2"/>
                  </w:pPr>
                  <w:r>
                    <w:t>Felhasználói, felvásárlói szerződések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80" style="position:absolute;left:0;text-align:left;z-index:251631104" from="486pt,14.85pt" to="486pt,86.85pt"/>
        </w:pict>
      </w:r>
      <w:r>
        <w:rPr>
          <w:noProof/>
          <w:sz w:val="20"/>
        </w:rPr>
        <w:pict>
          <v:line id="_x0000_s1077" style="position:absolute;left:0;text-align:left;z-index:251628032" from="477pt,14.85pt" to="486pt,14.85pt"/>
        </w:pict>
      </w:r>
      <w:r>
        <w:rPr>
          <w:noProof/>
          <w:sz w:val="20"/>
        </w:rPr>
        <w:pict>
          <v:line id="_x0000_s1075" style="position:absolute;left:0;text-align:left;flip:y;z-index:251625984" from="270pt,14.85pt" to="306pt,32.85pt">
            <v:stroke endarrow="block"/>
          </v:line>
        </w:pict>
      </w:r>
      <w:r>
        <w:rPr>
          <w:noProof/>
          <w:sz w:val="20"/>
        </w:rPr>
        <w:pict>
          <v:shape id="_x0000_s1057" type="#_x0000_t202" style="position:absolute;left:0;text-align:left;margin-left:306pt;margin-top:3.95pt;width:171pt;height:18pt;z-index:251607552">
            <v:textbox inset=",0,,0">
              <w:txbxContent>
                <w:p w:rsidR="00F45F50" w:rsidRDefault="00F45F50">
                  <w:r>
                    <w:t>Alapanyag feldolgozás eszközei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58" type="#_x0000_t202" style="position:absolute;left:0;text-align:left;margin-left:306pt;margin-top:14.85pt;width:171pt;height:18pt;z-index:251608576">
            <v:textbox inset=",0,,0">
              <w:txbxContent>
                <w:p w:rsidR="00F45F50" w:rsidRDefault="00F45F50">
                  <w:r>
                    <w:t>Hőfelhasználás eszközei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9" type="#_x0000_t202" style="position:absolute;left:0;text-align:left;margin-left:99pt;margin-top:7.75pt;width:171pt;height:37.9pt;z-index:251599360">
            <v:textbox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Biztonságosan működő te</w:t>
                  </w:r>
                  <w:r>
                    <w:rPr>
                      <w:b/>
                      <w:bCs/>
                      <w:sz w:val="28"/>
                    </w:rPr>
                    <w:t>l</w:t>
                  </w:r>
                  <w:r>
                    <w:rPr>
                      <w:b/>
                      <w:bCs/>
                      <w:sz w:val="28"/>
                    </w:rPr>
                    <w:t>jes technológiai sor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03" style="position:absolute;left:0;text-align:left;z-index:251654656" from="45pt,2.55pt" to="99pt,2.55pt" strokeweight="1.5pt">
            <v:stroke endarrow="block"/>
          </v:line>
        </w:pict>
      </w:r>
      <w:r>
        <w:rPr>
          <w:noProof/>
          <w:sz w:val="20"/>
        </w:rPr>
        <w:pict>
          <v:line id="_x0000_s1079" style="position:absolute;left:0;text-align:left;z-index:251630080" from="477pt,9.65pt" to="486pt,9.65pt"/>
        </w:pict>
      </w:r>
      <w:r>
        <w:rPr>
          <w:noProof/>
          <w:sz w:val="20"/>
        </w:rPr>
        <w:pict>
          <v:line id="_x0000_s1078" style="position:absolute;left:0;text-align:left;flip:y;z-index:251629056" from="477pt,.65pt" to="477pt,9.65pt"/>
        </w:pict>
      </w:r>
      <w:r>
        <w:rPr>
          <w:noProof/>
          <w:sz w:val="20"/>
        </w:rPr>
        <w:pict>
          <v:line id="_x0000_s1076" style="position:absolute;left:0;text-align:left;z-index:251627008" from="270pt,9.65pt" to="306pt,9.6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59" type="#_x0000_t202" style="position:absolute;left:0;text-align:left;margin-left:306pt;margin-top:13.45pt;width:153pt;height:45pt;z-index:251609600">
            <v:textbox inset=",0,,0">
              <w:txbxContent>
                <w:p w:rsidR="00F45F50" w:rsidRDefault="00F45F50">
                  <w:pPr>
                    <w:pStyle w:val="Szvegtrzs2"/>
                  </w:pPr>
                  <w:r>
                    <w:t>Üzemeltetés biztonsága üzemzavar elhárítás szab</w:t>
                  </w:r>
                  <w:r>
                    <w:t>á</w:t>
                  </w:r>
                  <w:r>
                    <w:t>lyozottsága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93" style="position:absolute;left:0;text-align:left;z-index:251644416" from="180pt,13.45pt" to="180pt,40.4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44" type="#_x0000_t202" style="position:absolute;left:0;text-align:left;margin-left:117pt;margin-top:8.25pt;width:135pt;height:18pt;z-index:251594240">
            <v:textbox>
              <w:txbxContent>
                <w:p w:rsidR="00F45F50" w:rsidRDefault="00F45F50">
                  <w:pPr>
                    <w:jc w:val="center"/>
                  </w:pPr>
                  <w:r>
                    <w:t>Működési engedélyek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81" style="position:absolute;left:0;text-align:left;flip:x;z-index:251632128" from="459pt,6.35pt" to="486pt,6.3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04" style="position:absolute;left:0;text-align:left;z-index:251655680" from="45pt,1.15pt" to="108pt,73.15pt" strokeweight="1.5pt">
            <v:stroke endarrow="block"/>
          </v:line>
        </w:pict>
      </w:r>
      <w:r>
        <w:rPr>
          <w:noProof/>
          <w:sz w:val="20"/>
        </w:rPr>
        <w:pict>
          <v:line id="_x0000_s1099" style="position:absolute;left:0;text-align:left;flip:y;z-index:251650560" from="180pt,10.15pt" to="180pt,73.1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95" style="position:absolute;left:0;text-align:left;flip:y;z-index:251646464" from="243pt,13.95pt" to="4in,49.95pt">
            <v:stroke endarrow="block"/>
          </v:line>
        </w:pict>
      </w:r>
      <w:r>
        <w:rPr>
          <w:noProof/>
          <w:sz w:val="20"/>
        </w:rPr>
        <w:pict>
          <v:shape id="_x0000_s1043" type="#_x0000_t202" style="position:absolute;left:0;text-align:left;margin-left:4in;margin-top:4.8pt;width:153pt;height:18.15pt;z-index:251593216">
            <v:textbox inset="0,0,0,0">
              <w:txbxContent>
                <w:p w:rsidR="00F45F50" w:rsidRDefault="00F45F50">
                  <w:pPr>
                    <w:jc w:val="center"/>
                  </w:pPr>
                  <w:r>
                    <w:t>Közüzemi szolgáltatások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92" type="#_x0000_t202" style="position:absolute;left:0;text-align:left;margin-left:4in;margin-top:15.85pt;width:153pt;height:18.15pt;z-index:251643392">
            <v:textbox inset="0,0,0,0">
              <w:txbxContent>
                <w:p w:rsidR="00F45F50" w:rsidRDefault="00F45F50">
                  <w:pPr>
                    <w:jc w:val="center"/>
                  </w:pPr>
                  <w:r>
                    <w:t>Hulladékkezelés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96" style="position:absolute;left:0;text-align:left;flip:y;z-index:251647488" from="243pt,8.75pt" to="4in,26.75pt">
            <v:stroke endarrow="block"/>
          </v:line>
        </w:pict>
      </w:r>
      <w:r>
        <w:rPr>
          <w:noProof/>
          <w:sz w:val="20"/>
        </w:rPr>
        <w:pict>
          <v:shape id="_x0000_s1040" type="#_x0000_t202" style="position:absolute;left:0;text-align:left;margin-left:108pt;margin-top:8.75pt;width:135pt;height:27pt;z-index:251590144">
            <v:textbox>
              <w:txbxContent>
                <w:p w:rsidR="00F45F50" w:rsidRDefault="00F45F50">
                  <w:pPr>
                    <w:pStyle w:val="Cmsor2"/>
                  </w:pPr>
                  <w:r>
                    <w:t>Kapcsolódó elemek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97" style="position:absolute;left:0;text-align:left;z-index:251648512" from="243pt,10.65pt" to="4in,19.65pt">
            <v:stroke endarrow="block"/>
          </v:line>
        </w:pict>
      </w:r>
      <w:r>
        <w:rPr>
          <w:noProof/>
          <w:sz w:val="20"/>
        </w:rPr>
        <w:pict>
          <v:shape id="_x0000_s1091" type="#_x0000_t202" style="position:absolute;left:0;text-align:left;margin-left:4in;margin-top:10.65pt;width:153pt;height:18.15pt;z-index:251642368">
            <v:textbox inset="0,0,0,0">
              <w:txbxContent>
                <w:p w:rsidR="00F45F50" w:rsidRDefault="00F45F50">
                  <w:pPr>
                    <w:jc w:val="center"/>
                  </w:pPr>
                  <w:r>
                    <w:t>Szállítás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098" style="position:absolute;left:0;text-align:left;z-index:251649536" from="243pt,3.55pt" to="4in,30.5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094" type="#_x0000_t202" style="position:absolute;left:0;text-align:left;margin-left:4in;margin-top:5.45pt;width:153pt;height:18.15pt;z-index:251645440">
            <v:textbox inset="0,0,0,0">
              <w:txbxContent>
                <w:p w:rsidR="00F45F50" w:rsidRDefault="00F45F50">
                  <w:pPr>
                    <w:jc w:val="center"/>
                  </w:pPr>
                  <w:r>
                    <w:t>Tűz és balesetvédelem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pStyle w:val="Cmsor3"/>
        <w:numPr>
          <w:ilvl w:val="0"/>
          <w:numId w:val="1"/>
        </w:numPr>
      </w:pPr>
      <w:r>
        <w:t>A rendszer egyes elemei</w:t>
      </w:r>
    </w:p>
    <w:p w:rsidR="00F45F50" w:rsidRDefault="00F45F50">
      <w:pPr>
        <w:ind w:left="360"/>
        <w:jc w:val="both"/>
        <w:rPr>
          <w:b/>
          <w:bCs/>
          <w:i/>
          <w:iCs/>
          <w:color w:val="0000FF"/>
          <w:sz w:val="28"/>
          <w:u w:val="double"/>
        </w:rPr>
      </w:pPr>
    </w:p>
    <w:p w:rsidR="00F45F50" w:rsidRDefault="00F45F50">
      <w:pPr>
        <w:numPr>
          <w:ilvl w:val="1"/>
          <w:numId w:val="1"/>
        </w:numPr>
        <w:jc w:val="both"/>
        <w:rPr>
          <w:sz w:val="28"/>
          <w:u w:val="single"/>
        </w:rPr>
      </w:pPr>
      <w:r>
        <w:rPr>
          <w:b/>
          <w:bCs/>
          <w:sz w:val="28"/>
          <w:u w:val="single"/>
        </w:rPr>
        <w:t>A szervezet</w:t>
      </w:r>
      <w:r>
        <w:rPr>
          <w:sz w:val="28"/>
        </w:rPr>
        <w:t xml:space="preserve"> megfelelő tulajdonosi összetétele és tevékenysége alapja az egész rendszernek. Első lépésben egy olyan „projekt céget kell létrehozni, amely átveszi az önkormányzati tulajdonban lévő hőszolgáltatási rendszereket. A beállítja a biomassza fűtésre alka</w:t>
      </w:r>
      <w:r>
        <w:rPr>
          <w:sz w:val="28"/>
        </w:rPr>
        <w:t>l</w:t>
      </w:r>
      <w:r>
        <w:rPr>
          <w:sz w:val="28"/>
        </w:rPr>
        <w:t>mas eszközöket. Összegyűjti a tüzelő alapanyagát, azt a fűtőbere</w:t>
      </w:r>
      <w:r>
        <w:rPr>
          <w:sz w:val="28"/>
        </w:rPr>
        <w:t>n</w:t>
      </w:r>
      <w:r>
        <w:rPr>
          <w:sz w:val="28"/>
        </w:rPr>
        <w:t>dezésnek megfelelően feldolgozza, és a továbbiakban az új ren</w:t>
      </w:r>
      <w:r>
        <w:rPr>
          <w:sz w:val="28"/>
        </w:rPr>
        <w:t>d</w:t>
      </w:r>
      <w:r>
        <w:rPr>
          <w:sz w:val="28"/>
        </w:rPr>
        <w:t xml:space="preserve">szert üzemelteti és ezzel az </w:t>
      </w:r>
      <w:r>
        <w:rPr>
          <w:i/>
          <w:iCs/>
          <w:sz w:val="28"/>
          <w:u w:val="single"/>
        </w:rPr>
        <w:t>önkormányzat számára hőt szolgáltat.</w:t>
      </w:r>
      <w:r>
        <w:rPr>
          <w:sz w:val="28"/>
        </w:rPr>
        <w:t xml:space="preserve"> A szervezet így önmagában biztosítja, hogy az önkormányzat sz</w:t>
      </w:r>
      <w:r>
        <w:rPr>
          <w:sz w:val="28"/>
        </w:rPr>
        <w:t>á</w:t>
      </w:r>
      <w:r>
        <w:rPr>
          <w:sz w:val="28"/>
        </w:rPr>
        <w:t xml:space="preserve">mára a felhasznált hőmennyiség 20%-al olcsóbbá vált. </w:t>
      </w:r>
      <w:r>
        <w:rPr>
          <w:rStyle w:val="Lbjegyzet-hivatkozs"/>
          <w:sz w:val="28"/>
        </w:rPr>
        <w:footnoteReference w:id="12"/>
      </w:r>
    </w:p>
    <w:p w:rsidR="00F45F50" w:rsidRDefault="00F45F50">
      <w:pPr>
        <w:ind w:left="1080"/>
        <w:jc w:val="both"/>
        <w:rPr>
          <w:sz w:val="28"/>
          <w:u w:val="single"/>
        </w:rPr>
      </w:pPr>
    </w:p>
    <w:p w:rsidR="00F45F50" w:rsidRDefault="00F45F50">
      <w:pPr>
        <w:numPr>
          <w:ilvl w:val="1"/>
          <w:numId w:val="4"/>
        </w:numPr>
        <w:jc w:val="both"/>
        <w:rPr>
          <w:sz w:val="28"/>
        </w:rPr>
      </w:pPr>
      <w:r>
        <w:rPr>
          <w:sz w:val="28"/>
          <w:u w:val="single"/>
        </w:rPr>
        <w:t>Tulajdonosi összetétel:</w:t>
      </w:r>
      <w:r>
        <w:rPr>
          <w:sz w:val="28"/>
        </w:rPr>
        <w:t xml:space="preserve"> A rendszerhez csatlakozó önko</w:t>
      </w:r>
      <w:r>
        <w:rPr>
          <w:sz w:val="28"/>
        </w:rPr>
        <w:t>r</w:t>
      </w:r>
      <w:r>
        <w:rPr>
          <w:sz w:val="28"/>
        </w:rPr>
        <w:t>mányzatok apportként átadják a meglévő kazánházaikat, illetve területet biztosítanak a feldolgozó üzemek. (Te</w:t>
      </w:r>
      <w:r>
        <w:rPr>
          <w:sz w:val="28"/>
        </w:rPr>
        <w:t>r</w:t>
      </w:r>
      <w:r>
        <w:rPr>
          <w:sz w:val="28"/>
        </w:rPr>
        <w:t>mészetesen, ha módja van rá pénzt is tehet be. A célsz</w:t>
      </w:r>
      <w:r>
        <w:rPr>
          <w:sz w:val="28"/>
        </w:rPr>
        <w:t>e</w:t>
      </w:r>
      <w:r>
        <w:rPr>
          <w:sz w:val="28"/>
        </w:rPr>
        <w:t>rűség azt diktálja, hogy az önkormányzati tulajdon ne h</w:t>
      </w:r>
      <w:r>
        <w:rPr>
          <w:sz w:val="28"/>
        </w:rPr>
        <w:t>a</w:t>
      </w:r>
      <w:r>
        <w:rPr>
          <w:sz w:val="28"/>
        </w:rPr>
        <w:t>ladja meg a 25%-ot</w:t>
      </w:r>
      <w:r>
        <w:rPr>
          <w:rStyle w:val="Lbjegyzet-hivatkozs"/>
          <w:sz w:val="28"/>
        </w:rPr>
        <w:footnoteReference w:id="13"/>
      </w:r>
      <w:r>
        <w:rPr>
          <w:sz w:val="28"/>
        </w:rPr>
        <w:t>)  Résztulajdonosai lehetnek a cé</w:t>
      </w:r>
      <w:r>
        <w:rPr>
          <w:sz w:val="28"/>
        </w:rPr>
        <w:t>g</w:t>
      </w:r>
      <w:r>
        <w:rPr>
          <w:sz w:val="28"/>
        </w:rPr>
        <w:t>nek az alapanyag beszállítók, illetve a jelenlegi üzemelt</w:t>
      </w:r>
      <w:r>
        <w:rPr>
          <w:sz w:val="28"/>
        </w:rPr>
        <w:t>e</w:t>
      </w:r>
      <w:r>
        <w:rPr>
          <w:sz w:val="28"/>
        </w:rPr>
        <w:t>tők is. A tulajdonosok közé – ismerve a pénzügyi helyz</w:t>
      </w:r>
      <w:r>
        <w:rPr>
          <w:sz w:val="28"/>
        </w:rPr>
        <w:t>e</w:t>
      </w:r>
      <w:r>
        <w:rPr>
          <w:sz w:val="28"/>
        </w:rPr>
        <w:t>tet – feltétlenül be kell jönni egy olyan befektetőnek, amely biztosítani tudja a megvalósításhoz szükséges ö</w:t>
      </w:r>
      <w:r>
        <w:rPr>
          <w:sz w:val="28"/>
        </w:rPr>
        <w:t>s</w:t>
      </w:r>
      <w:r>
        <w:rPr>
          <w:sz w:val="28"/>
        </w:rPr>
        <w:t>szeget. (Többségi tulajdonos)</w:t>
      </w:r>
    </w:p>
    <w:p w:rsidR="00F45F50" w:rsidRDefault="00F45F50">
      <w:pPr>
        <w:numPr>
          <w:ilvl w:val="1"/>
          <w:numId w:val="4"/>
        </w:numPr>
        <w:jc w:val="both"/>
        <w:rPr>
          <w:sz w:val="28"/>
        </w:rPr>
      </w:pPr>
      <w:r>
        <w:rPr>
          <w:sz w:val="28"/>
          <w:u w:val="single"/>
        </w:rPr>
        <w:t>Tevékenység.</w:t>
      </w:r>
      <w:r>
        <w:rPr>
          <w:sz w:val="28"/>
        </w:rPr>
        <w:t xml:space="preserve"> A továbbiakban a beruházást a projekt cég valósítja meg, az eszközök az ő tulajdonában lesznek, és azokat ő is üzemelteti. A cég köti meg az önkormányza</w:t>
      </w:r>
      <w:r>
        <w:rPr>
          <w:sz w:val="28"/>
        </w:rPr>
        <w:t>t</w:t>
      </w:r>
      <w:r>
        <w:rPr>
          <w:sz w:val="28"/>
        </w:rPr>
        <w:t>okkal a hő értékesítési szerződéseket, a beszállítókkal az alapanyag beszállítói szerződéseket, a késztermékvásá</w:t>
      </w:r>
      <w:r>
        <w:rPr>
          <w:sz w:val="28"/>
        </w:rPr>
        <w:t>r</w:t>
      </w:r>
      <w:r>
        <w:rPr>
          <w:sz w:val="28"/>
        </w:rPr>
        <w:t>lókkal a szállítási szerződéseket. A cég alapvető tev</w:t>
      </w:r>
      <w:r>
        <w:rPr>
          <w:sz w:val="28"/>
        </w:rPr>
        <w:t>é</w:t>
      </w:r>
      <w:r>
        <w:rPr>
          <w:sz w:val="28"/>
        </w:rPr>
        <w:t>kenysége az intézmények hőellátásának biztosítása.</w:t>
      </w:r>
      <w:r>
        <w:rPr>
          <w:rStyle w:val="Lbjegyzet-hivatkozs"/>
          <w:sz w:val="28"/>
        </w:rPr>
        <w:footnoteReference w:id="14"/>
      </w:r>
    </w:p>
    <w:p w:rsidR="00F45F50" w:rsidRDefault="00F45F50">
      <w:pPr>
        <w:numPr>
          <w:ilvl w:val="2"/>
          <w:numId w:val="4"/>
        </w:numPr>
        <w:jc w:val="both"/>
        <w:rPr>
          <w:sz w:val="28"/>
        </w:rPr>
      </w:pPr>
      <w:r>
        <w:rPr>
          <w:sz w:val="28"/>
        </w:rPr>
        <w:t>Központi fűtőmű esetén általában bála, vagy apríték fűtéssel.</w:t>
      </w:r>
    </w:p>
    <w:p w:rsidR="00F45F50" w:rsidRDefault="00F45F50">
      <w:pPr>
        <w:numPr>
          <w:ilvl w:val="2"/>
          <w:numId w:val="4"/>
        </w:numPr>
        <w:jc w:val="both"/>
        <w:rPr>
          <w:sz w:val="28"/>
        </w:rPr>
      </w:pPr>
      <w:r>
        <w:rPr>
          <w:sz w:val="28"/>
        </w:rPr>
        <w:t>Egyedi rendszerek esetén pellet f</w:t>
      </w:r>
      <w:r>
        <w:rPr>
          <w:sz w:val="28"/>
        </w:rPr>
        <w:t>ű</w:t>
      </w:r>
      <w:r>
        <w:rPr>
          <w:sz w:val="28"/>
        </w:rPr>
        <w:t>tés. Ebben az esetben a cég tev</w:t>
      </w:r>
      <w:r>
        <w:rPr>
          <w:sz w:val="28"/>
        </w:rPr>
        <w:t>é</w:t>
      </w:r>
      <w:r>
        <w:rPr>
          <w:sz w:val="28"/>
        </w:rPr>
        <w:t>kenysége kiegészül a pellet gyá</w:t>
      </w:r>
      <w:r>
        <w:rPr>
          <w:sz w:val="28"/>
        </w:rPr>
        <w:t>r</w:t>
      </w:r>
      <w:r>
        <w:rPr>
          <w:sz w:val="28"/>
        </w:rPr>
        <w:t>tással.</w:t>
      </w:r>
      <w:r>
        <w:rPr>
          <w:rStyle w:val="Lbjegyzet-hivatkozs"/>
          <w:sz w:val="28"/>
        </w:rPr>
        <w:footnoteReference w:id="15"/>
      </w:r>
    </w:p>
    <w:p w:rsidR="00F45F50" w:rsidRDefault="00F45F50">
      <w:pPr>
        <w:numPr>
          <w:ilvl w:val="3"/>
          <w:numId w:val="4"/>
        </w:numPr>
        <w:jc w:val="both"/>
        <w:rPr>
          <w:sz w:val="28"/>
        </w:rPr>
      </w:pPr>
      <w:r>
        <w:rPr>
          <w:sz w:val="28"/>
        </w:rPr>
        <w:t>Pelletgyártás:”Szenter „technol</w:t>
      </w:r>
      <w:r>
        <w:rPr>
          <w:sz w:val="28"/>
        </w:rPr>
        <w:t>ó</w:t>
      </w:r>
      <w:r>
        <w:rPr>
          <w:sz w:val="28"/>
        </w:rPr>
        <w:t>gia</w:t>
      </w:r>
      <w:r>
        <w:rPr>
          <w:rStyle w:val="Lbjegyzet-hivatkozs"/>
          <w:sz w:val="28"/>
        </w:rPr>
        <w:footnoteReference w:id="16"/>
      </w:r>
    </w:p>
    <w:p w:rsidR="00F45F50" w:rsidRDefault="00F45F50">
      <w:pPr>
        <w:numPr>
          <w:ilvl w:val="1"/>
          <w:numId w:val="4"/>
        </w:numPr>
        <w:jc w:val="both"/>
        <w:rPr>
          <w:sz w:val="28"/>
        </w:rPr>
      </w:pPr>
      <w:r>
        <w:rPr>
          <w:sz w:val="28"/>
          <w:u w:val="single"/>
        </w:rPr>
        <w:t>Nagyság:</w:t>
      </w:r>
      <w:r>
        <w:rPr>
          <w:sz w:val="28"/>
        </w:rPr>
        <w:t xml:space="preserve"> Az egyes cégek nagyságát a helyi viszonyok határozzák ugyan meg, de általános elvként kimondható, hogy 2 – 4 000 tonna biomassza feldolgozására alaku</w:t>
      </w:r>
      <w:r>
        <w:rPr>
          <w:sz w:val="28"/>
        </w:rPr>
        <w:t>l</w:t>
      </w:r>
      <w:r>
        <w:rPr>
          <w:sz w:val="28"/>
        </w:rPr>
        <w:t>nak. Ennyi alapanyag ugyanis 10 km -es körzeten belül biztonságosan összeszedhető. A Szenter technológia egy-egysége is – a műszakszámtól függően – 2 –4 000 tonna pelletet tud évente produkálni.. Szemléltetésül egy kon</w:t>
      </w:r>
      <w:r>
        <w:rPr>
          <w:sz w:val="28"/>
        </w:rPr>
        <w:t>k</w:t>
      </w:r>
      <w:r>
        <w:rPr>
          <w:sz w:val="28"/>
        </w:rPr>
        <w:t>rét projekt alapanyag ellátása:</w:t>
      </w: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  <w:r>
        <w:rPr>
          <w:noProof/>
          <w:sz w:val="20"/>
        </w:rPr>
        <w:pict>
          <v:group id="_x0000_s1124" style="position:absolute;left:0;text-align:left;margin-left:36pt;margin-top:6.7pt;width:431.55pt;height:343.9pt;z-index:251657728" coordorigin="2494,5737" coordsize="8274,6878">
            <v:group id="_x0000_s1122" style="position:absolute;left:2494;top:5737;width:8274;height:6878" coordorigin="2137,5377" coordsize="8274,6675" wrapcoords="-39 0 -39 21600 21639 21600 21639 0 -39 0">
              <v:shape id="_x0000_s1110" type="#_x0000_t202" style="position:absolute;left:4837;top:8617;width:1080;height:360" fillcolor="yellow">
                <v:textbox style="mso-next-textbox:#_x0000_s1110">
                  <w:txbxContent>
                    <w:p w:rsidR="00F45F50" w:rsidRDefault="00F45F50">
                      <w:r>
                        <w:t>660to</w:t>
                      </w:r>
                    </w:p>
                  </w:txbxContent>
                </v:textbox>
              </v:shape>
              <v:shape id="_x0000_s1112" type="#_x0000_t202" style="position:absolute;left:3217;top:7717;width:1080;height:360" fillcolor="yellow">
                <v:textbox style="mso-next-textbox:#_x0000_s1112">
                  <w:txbxContent>
                    <w:p w:rsidR="00F45F50" w:rsidRDefault="00F45F50">
                      <w:r>
                        <w:t>210 to</w:t>
                      </w:r>
                    </w:p>
                  </w:txbxContent>
                </v:textbox>
              </v:shape>
              <v:shape id="_x0000_s1106" type="#_x0000_t202" style="position:absolute;left:2137;top:5377;width:8274;height:6675;mso-wrap-edited:f" wrapcoords="-39 0 -39 21600 21639 21600 21639 0 -39 0" o:regroupid="1">
                <v:textbox style="mso-next-textbox:#_x0000_s1106">
                  <w:txbxContent>
                    <w:p w:rsidR="00F45F50" w:rsidRDefault="00C61E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57775" cy="3609975"/>
                            <wp:effectExtent l="19050" t="0" r="9525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7775" cy="360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5F50" w:rsidRDefault="00F45F50">
                      <w:pPr>
                        <w:pStyle w:val="Szvegtrzs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 zalacsányi projekt (Zalahő) alapanyaggal való ellátottsága (előszerz</w:t>
                      </w:r>
                      <w:r>
                        <w:rPr>
                          <w:sz w:val="28"/>
                        </w:rPr>
                        <w:t>ő</w:t>
                      </w:r>
                      <w:r>
                        <w:rPr>
                          <w:sz w:val="28"/>
                        </w:rPr>
                        <w:t>dések) A sárga háttérrel jelölt önkormányzatok csatlakoztak a projekthez. A területen 4 nagyobb mezőgazd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z w:val="28"/>
                        </w:rPr>
                        <w:t>sági vállalkozás van</w:t>
                      </w:r>
                    </w:p>
                  </w:txbxContent>
                </v:textbox>
              </v:shape>
              <v:shape id="_x0000_s1108" type="#_x0000_t202" style="position:absolute;left:6997;top:7000;width:1020;height:540" o:regroupid="1" fillcolor="yellow">
                <v:textbox style="mso-next-textbox:#_x0000_s1108">
                  <w:txbxContent>
                    <w:p w:rsidR="00F45F50" w:rsidRDefault="00F45F50">
                      <w:r>
                        <w:t>880 to</w:t>
                      </w:r>
                    </w:p>
                  </w:txbxContent>
                </v:textbox>
              </v:shape>
              <v:shape id="_x0000_s1109" type="#_x0000_t202" style="position:absolute;left:2677;top:8797;width:1080;height:360" o:regroupid="1" fillcolor="yellow">
                <v:textbox style="mso-next-textbox:#_x0000_s1109">
                  <w:txbxContent>
                    <w:p w:rsidR="00F45F50" w:rsidRDefault="00F45F50">
                      <w:r>
                        <w:t>330 to</w:t>
                      </w:r>
                    </w:p>
                  </w:txbxContent>
                </v:textbox>
              </v:shape>
              <v:shape id="_x0000_s1111" type="#_x0000_t202" style="position:absolute;left:3577;top:6277;width:1080;height:360" o:regroupid="1" fillcolor="yellow">
                <v:textbox style="mso-next-textbox:#_x0000_s1111">
                  <w:txbxContent>
                    <w:p w:rsidR="00F45F50" w:rsidRDefault="00F45F50">
                      <w:r>
                        <w:t>210 to</w:t>
                      </w:r>
                    </w:p>
                  </w:txbxContent>
                </v:textbox>
              </v:shape>
              <v:shape id="_x0000_s1113" type="#_x0000_t202" style="position:absolute;left:5017;top:6457;width:1080;height:360" o:regroupid="1">
                <v:textbox style="mso-next-textbox:#_x0000_s1113">
                  <w:txbxContent>
                    <w:p w:rsidR="00F45F50" w:rsidRDefault="00F45F50">
                      <w:r>
                        <w:t>730 to</w:t>
                      </w:r>
                    </w:p>
                  </w:txbxContent>
                </v:textbox>
              </v:shape>
              <v:shape id="_x0000_s1114" type="#_x0000_t202" style="position:absolute;left:5377;top:10057;width:1080;height:360" o:regroupid="1">
                <v:textbox style="mso-next-textbox:#_x0000_s1114">
                  <w:txbxContent>
                    <w:p w:rsidR="00F45F50" w:rsidRDefault="00F45F50">
                      <w:r>
                        <w:t>300 to</w:t>
                      </w:r>
                    </w:p>
                  </w:txbxContent>
                </v:textbox>
              </v:shape>
              <v:line id="_x0000_s1118" style="position:absolute" from="5377,8452" to="8797,8452" o:regroupid="1">
                <v:stroke startarrow="block" endarrow="block"/>
              </v:line>
              <v:oval id="_x0000_s1119" style="position:absolute;left:2857;top:5572;width:5940;height:5940" o:regroupid="1" filled="f" strokecolor="#f60" strokeweight="1.5pt"/>
              <v:shape id="_x0000_s1120" type="#_x0000_t202" style="position:absolute;left:6457;top:8092;width:1260;height:360" o:regroupid="1">
                <v:textbox style="mso-next-textbox:#_x0000_s1120">
                  <w:txbxContent>
                    <w:p w:rsidR="00F45F50" w:rsidRDefault="00F45F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 km</w:t>
                      </w:r>
                    </w:p>
                  </w:txbxContent>
                </v:textbox>
              </v:shape>
            </v:group>
            <v:shape id="_x0000_s1123" type="#_x0000_t202" style="position:absolute;left:5025;top:8977;width:1080;height:360" fillcolor="yellow" strokecolor="#fc0">
              <v:textbox>
                <w:txbxContent>
                  <w:p w:rsidR="00F45F50" w:rsidRDefault="00F45F50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660 to</w:t>
                    </w:r>
                  </w:p>
                </w:txbxContent>
              </v:textbox>
            </v:shape>
          </v:group>
        </w:pict>
      </w: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ind w:left="2160"/>
        <w:jc w:val="both"/>
        <w:rPr>
          <w:sz w:val="28"/>
        </w:rPr>
      </w:pPr>
    </w:p>
    <w:p w:rsidR="00F45F50" w:rsidRDefault="00F45F50">
      <w:pPr>
        <w:numPr>
          <w:ilvl w:val="1"/>
          <w:numId w:val="4"/>
        </w:numPr>
        <w:jc w:val="both"/>
        <w:rPr>
          <w:sz w:val="28"/>
        </w:rPr>
      </w:pPr>
      <w:r>
        <w:rPr>
          <w:sz w:val="28"/>
          <w:u w:val="single"/>
        </w:rPr>
        <w:t>Menedzsment:</w:t>
      </w:r>
      <w:r>
        <w:rPr>
          <w:sz w:val="28"/>
        </w:rPr>
        <w:t xml:space="preserve"> Irányítja a munkát, szervezi a tevékenys</w:t>
      </w:r>
      <w:r>
        <w:rPr>
          <w:sz w:val="28"/>
        </w:rPr>
        <w:t>é</w:t>
      </w:r>
      <w:r>
        <w:rPr>
          <w:sz w:val="28"/>
        </w:rPr>
        <w:t>get. A megfelelő alapképzettséggel rendelkező szake</w:t>
      </w:r>
      <w:r>
        <w:rPr>
          <w:sz w:val="28"/>
        </w:rPr>
        <w:t>m</w:t>
      </w:r>
      <w:r>
        <w:rPr>
          <w:sz w:val="28"/>
        </w:rPr>
        <w:t>ber (ek) kiképzéséről, a dolgozók betanításáról a szerv</w:t>
      </w:r>
      <w:r>
        <w:rPr>
          <w:sz w:val="28"/>
        </w:rPr>
        <w:t>e</w:t>
      </w:r>
      <w:r>
        <w:rPr>
          <w:sz w:val="28"/>
        </w:rPr>
        <w:t>zők gondoskodnak</w:t>
      </w:r>
    </w:p>
    <w:p w:rsidR="00F45F50" w:rsidRDefault="00F45F50">
      <w:pPr>
        <w:numPr>
          <w:ilvl w:val="0"/>
          <w:numId w:val="4"/>
        </w:num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Érdekeltség</w:t>
      </w:r>
      <w:r>
        <w:rPr>
          <w:sz w:val="28"/>
        </w:rPr>
        <w:t xml:space="preserve"> A rendszer csak úgy működhet, ha annak minden szereplője megtalálja a számítását. A projekt cégnek nyilvánvaló olyan eredményt kell produkálni, ami a tulajdonosok számára a befektetett összeg maximum hat éves megtérülését biztosítja. Egy konkrét projekt adatai alapján, amelynek a teljes beruházási költsége 217 millió Ft (befektetett saját pénz 110 millió) elkészítettük a jövedelmek alakulását, amely az érdekeltség alapja. A projekt paraméterei az alábbiak:</w:t>
      </w:r>
    </w:p>
    <w:p w:rsidR="00F45F50" w:rsidRDefault="00F45F50">
      <w:pPr>
        <w:jc w:val="both"/>
        <w:rPr>
          <w:sz w:val="28"/>
        </w:rPr>
      </w:pPr>
      <w:r>
        <w:rPr>
          <w:b/>
          <w:bCs/>
          <w:noProof/>
          <w:sz w:val="20"/>
          <w:u w:val="single"/>
        </w:rPr>
        <w:pict>
          <v:shape id="_x0000_s1125" type="#_x0000_t202" style="position:absolute;left:0;text-align:left;margin-left:18pt;margin-top:4.3pt;width:225pt;height:126pt;z-index:251658752">
            <v:textbox>
              <w:txbxContent>
                <w:tbl>
                  <w:tblPr>
                    <w:tblW w:w="4140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920"/>
                    <w:gridCol w:w="1220"/>
                  </w:tblGrid>
                  <w:tr w:rsidR="00F45F50">
                    <w:trPr>
                      <w:trHeight w:val="270"/>
                    </w:trPr>
                    <w:tc>
                      <w:tcPr>
                        <w:tcW w:w="2920" w:type="dxa"/>
                        <w:tcBorders>
                          <w:top w:val="double" w:sz="6" w:space="0" w:color="auto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Pellet piaci ára Ft/kg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double" w:sz="6" w:space="0" w:color="auto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</w:tr>
                  <w:tr w:rsidR="00F45F50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Alapanyag ára Ft/kg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F45F50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Pellet mennyisége kg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3 000 000</w:t>
                        </w:r>
                      </w:p>
                    </w:tc>
                  </w:tr>
                  <w:tr w:rsidR="00F45F50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Pellet önköltsége Ft/tonna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27 138</w:t>
                        </w:r>
                      </w:p>
                    </w:tc>
                  </w:tr>
                  <w:tr w:rsidR="00F45F50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 MJ ára gázban nettó Ft/Mj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3,3010</w:t>
                        </w:r>
                      </w:p>
                    </w:tc>
                  </w:tr>
                  <w:tr w:rsidR="00F45F50">
                    <w:trPr>
                      <w:trHeight w:val="255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Kedvezmény mértéke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0,200</w:t>
                        </w:r>
                      </w:p>
                    </w:tc>
                  </w:tr>
                  <w:tr w:rsidR="00F45F50">
                    <w:trPr>
                      <w:trHeight w:val="270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1. Mj nettó kedvezményes ára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2,6408</w:t>
                        </w:r>
                      </w:p>
                    </w:tc>
                  </w:tr>
                  <w:tr w:rsidR="00F45F50">
                    <w:trPr>
                      <w:trHeight w:val="285"/>
                    </w:trPr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double" w:sz="6" w:space="0" w:color="auto"/>
                          <w:right w:val="nil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Intézmények hőszükséglete Mj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double" w:sz="6" w:space="0" w:color="auto"/>
                          <w:bottom w:val="double" w:sz="6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F45F50" w:rsidRDefault="00F45F50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10 000 000</w:t>
                        </w:r>
                      </w:p>
                    </w:tc>
                  </w:tr>
                </w:tbl>
                <w:p w:rsidR="00F45F50" w:rsidRDefault="00F45F50"/>
              </w:txbxContent>
            </v:textbox>
            <w10:wrap type="square"/>
          </v:shape>
        </w:pict>
      </w:r>
      <w:r>
        <w:rPr>
          <w:sz w:val="28"/>
        </w:rPr>
        <w:t>Ezeket a paramétereket jelenleg előszerződésekben rögzítettük, amelyek a projekt cég megalakul</w:t>
      </w:r>
      <w:r>
        <w:rPr>
          <w:sz w:val="28"/>
        </w:rPr>
        <w:t>á</w:t>
      </w:r>
      <w:r>
        <w:rPr>
          <w:sz w:val="28"/>
        </w:rPr>
        <w:t>sakor válnak szerződéssé. E par</w:t>
      </w:r>
      <w:r>
        <w:rPr>
          <w:sz w:val="28"/>
        </w:rPr>
        <w:t>a</w:t>
      </w:r>
      <w:r>
        <w:rPr>
          <w:sz w:val="28"/>
        </w:rPr>
        <w:t>méterekkel a rendszer egyes sz</w:t>
      </w:r>
      <w:r>
        <w:rPr>
          <w:sz w:val="28"/>
        </w:rPr>
        <w:t>e</w:t>
      </w:r>
      <w:r>
        <w:rPr>
          <w:sz w:val="28"/>
        </w:rPr>
        <w:t>replőinek anyagi érdekeltsége (nála realizálódó eredmény a következ</w:t>
      </w:r>
      <w:r>
        <w:rPr>
          <w:sz w:val="28"/>
        </w:rPr>
        <w:t>ő</w:t>
      </w:r>
      <w:r>
        <w:rPr>
          <w:sz w:val="28"/>
        </w:rPr>
        <w:t>képpen alakul.</w:t>
      </w:r>
    </w:p>
    <w:p w:rsidR="00F45F50" w:rsidRDefault="00F45F50">
      <w:pPr>
        <w:jc w:val="both"/>
        <w:rPr>
          <w:sz w:val="28"/>
        </w:rPr>
      </w:pPr>
    </w:p>
    <w:tbl>
      <w:tblPr>
        <w:tblW w:w="7760" w:type="dxa"/>
        <w:tblInd w:w="689" w:type="dxa"/>
        <w:tblCellMar>
          <w:left w:w="0" w:type="dxa"/>
          <w:right w:w="0" w:type="dxa"/>
        </w:tblCellMar>
        <w:tblLook w:val="0000"/>
      </w:tblPr>
      <w:tblGrid>
        <w:gridCol w:w="3038"/>
        <w:gridCol w:w="1124"/>
        <w:gridCol w:w="1401"/>
        <w:gridCol w:w="1030"/>
        <w:gridCol w:w="1167"/>
      </w:tblGrid>
      <w:tr w:rsidR="00F45F50">
        <w:trPr>
          <w:trHeight w:val="345"/>
        </w:trPr>
        <w:tc>
          <w:tcPr>
            <w:tcW w:w="776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 eredmény keletkezése a rendszer egyes szereplőinél</w:t>
            </w:r>
          </w:p>
        </w:tc>
      </w:tr>
      <w:tr w:rsidR="00F45F50">
        <w:trPr>
          <w:cantSplit/>
          <w:trHeight w:val="330"/>
        </w:trPr>
        <w:tc>
          <w:tcPr>
            <w:tcW w:w="303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 eredmény elemei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 o r i n t</w:t>
            </w:r>
          </w:p>
        </w:tc>
        <w:tc>
          <w:tcPr>
            <w:tcW w:w="1166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Összes eredmény forint</w:t>
            </w:r>
          </w:p>
        </w:tc>
      </w:tr>
      <w:tr w:rsidR="00F45F50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Projekt cég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Önkormányzat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Beszállító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</w:tr>
      <w:tr w:rsidR="00F45F50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Árbevétel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109 533 094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44 563 659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33 000 000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</w:tr>
      <w:tr w:rsidR="00F45F50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Önköltség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81 414 894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27 728 499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24 750 000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</w:tr>
      <w:tr w:rsidR="00F45F50">
        <w:trPr>
          <w:trHeight w:val="28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Eredmény (megtakarítás)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28 118 200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16 835 160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8 250 000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53 203 360</w:t>
            </w:r>
          </w:p>
        </w:tc>
      </w:tr>
      <w:tr w:rsidR="00F45F5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Eredmény az árbevétel %-ában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25,67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37,78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F45F50" w:rsidRDefault="00F45F50">
      <w:pPr>
        <w:jc w:val="both"/>
        <w:rPr>
          <w:sz w:val="28"/>
        </w:rPr>
      </w:pPr>
    </w:p>
    <w:p w:rsidR="00F45F50" w:rsidRDefault="00C61EAA">
      <w:pPr>
        <w:ind w:left="708"/>
        <w:jc w:val="both"/>
        <w:rPr>
          <w:b/>
          <w:bCs/>
          <w:sz w:val="28"/>
          <w:u w:val="single"/>
        </w:rPr>
      </w:pPr>
      <w:r>
        <w:rPr>
          <w:noProof/>
        </w:rPr>
        <w:drawing>
          <wp:inline distT="0" distB="0" distL="0" distR="0">
            <wp:extent cx="5010150" cy="3419475"/>
            <wp:effectExtent l="0" t="0" r="0" b="0"/>
            <wp:docPr id="2" name="Objektu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45F50" w:rsidRDefault="00F45F50">
      <w:pPr>
        <w:jc w:val="both"/>
        <w:rPr>
          <w:sz w:val="28"/>
        </w:rPr>
      </w:pPr>
      <w:r>
        <w:rPr>
          <w:sz w:val="28"/>
        </w:rPr>
        <w:t xml:space="preserve">Az önkormányzatnak a megtakarításon túl további bevételt jelent a mintegy 1,5 millió Ft helyi adó. (az önköltségben szerepel) továbbá - esetünkben – 9 fő új foglalkoztatása. </w:t>
      </w:r>
    </w:p>
    <w:p w:rsidR="00F45F50" w:rsidRDefault="00F45F50">
      <w:pPr>
        <w:jc w:val="both"/>
        <w:rPr>
          <w:b/>
          <w:bCs/>
          <w:sz w:val="28"/>
          <w:u w:val="single"/>
        </w:rPr>
      </w:pPr>
    </w:p>
    <w:p w:rsidR="00F45F50" w:rsidRDefault="00F45F50">
      <w:pPr>
        <w:numPr>
          <w:ilvl w:val="0"/>
          <w:numId w:val="4"/>
        </w:num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Kapcsolatok szabályozottsága</w:t>
      </w:r>
      <w:r>
        <w:rPr>
          <w:sz w:val="28"/>
        </w:rPr>
        <w:t>: Valamennyi szereplő kapcsolatát hosszú távú szerződésben kell szabályozni, amelyek pontosan meghatározzák a mennyiségeket, árakat, árváltoztatás lehetőségét és módszereit. Ezek fontos részei a rendszernek. Ezért dolgoztuk ki a szerződés mintákat, amelyeket a mellékletben csatoltuk.</w:t>
      </w:r>
    </w:p>
    <w:p w:rsidR="00F45F50" w:rsidRDefault="00F45F50">
      <w:pPr>
        <w:jc w:val="both"/>
        <w:rPr>
          <w:b/>
          <w:bCs/>
          <w:sz w:val="28"/>
          <w:u w:val="single"/>
        </w:rPr>
      </w:pPr>
    </w:p>
    <w:p w:rsidR="00F45F50" w:rsidRDefault="00F45F50">
      <w:pPr>
        <w:numPr>
          <w:ilvl w:val="0"/>
          <w:numId w:val="4"/>
        </w:num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Technológia</w:t>
      </w:r>
      <w:r>
        <w:rPr>
          <w:sz w:val="28"/>
        </w:rPr>
        <w:t xml:space="preserve"> A rendszerben alapvetően két egymással szinkronban lévő technológia szerepel. Az egyik a hőszolgáltató berendezések (kazánok) am</w:t>
      </w:r>
      <w:r>
        <w:rPr>
          <w:sz w:val="28"/>
        </w:rPr>
        <w:t>e</w:t>
      </w:r>
      <w:r>
        <w:rPr>
          <w:sz w:val="28"/>
        </w:rPr>
        <w:t>lyeknek biztosítani kell az előírt emissziós értékeket, illetve a megadott m</w:t>
      </w:r>
      <w:r>
        <w:rPr>
          <w:sz w:val="28"/>
        </w:rPr>
        <w:t>i</w:t>
      </w:r>
      <w:r>
        <w:rPr>
          <w:sz w:val="28"/>
        </w:rPr>
        <w:t>nőségű tüzelőanyag megfelelő égethetőségét. Ehhez kapcsolódik – az előbbi kiszolgálójaként – a „tüzelőanyag gyártás” illetve annak biztosítása. Az előbbi technológiát (kazánműködés) az általunk javasolt kazángyártók sze</w:t>
      </w:r>
      <w:r>
        <w:rPr>
          <w:sz w:val="28"/>
        </w:rPr>
        <w:t>r</w:t>
      </w:r>
      <w:r>
        <w:rPr>
          <w:sz w:val="28"/>
        </w:rPr>
        <w:t>ződésben garantálják. A tüzelőanyag minőségét – gyártás esetén - az ált</w:t>
      </w:r>
      <w:r>
        <w:rPr>
          <w:sz w:val="28"/>
        </w:rPr>
        <w:t>a</w:t>
      </w:r>
      <w:r>
        <w:rPr>
          <w:sz w:val="28"/>
        </w:rPr>
        <w:t>lunk biztosított „Szenter” technológia, illetve a technológia szállítója gara</w:t>
      </w:r>
      <w:r>
        <w:rPr>
          <w:sz w:val="28"/>
        </w:rPr>
        <w:t>n</w:t>
      </w:r>
      <w:r>
        <w:rPr>
          <w:sz w:val="28"/>
        </w:rPr>
        <w:t>tálja. Ők biztosítják a szerződésekben meghatározott szervizt, és hibaelhár</w:t>
      </w:r>
      <w:r>
        <w:rPr>
          <w:sz w:val="28"/>
        </w:rPr>
        <w:t>í</w:t>
      </w:r>
      <w:r>
        <w:rPr>
          <w:sz w:val="28"/>
        </w:rPr>
        <w:t>tást is.</w:t>
      </w:r>
      <w:r>
        <w:rPr>
          <w:rStyle w:val="Lbjegyzet-hivatkozs"/>
          <w:sz w:val="28"/>
        </w:rPr>
        <w:footnoteReference w:id="17"/>
      </w:r>
    </w:p>
    <w:p w:rsidR="00F45F50" w:rsidRDefault="00F45F50">
      <w:pPr>
        <w:jc w:val="both"/>
        <w:rPr>
          <w:b/>
          <w:bCs/>
          <w:sz w:val="28"/>
          <w:u w:val="single"/>
        </w:rPr>
      </w:pPr>
    </w:p>
    <w:p w:rsidR="00F45F50" w:rsidRDefault="00F45F50">
      <w:pPr>
        <w:numPr>
          <w:ilvl w:val="0"/>
          <w:numId w:val="4"/>
        </w:num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Kapcsolódó elemek</w:t>
      </w:r>
      <w:r>
        <w:rPr>
          <w:sz w:val="28"/>
        </w:rPr>
        <w:t xml:space="preserve"> A zavartalan működésnek, illetve a működés megkez</w:t>
      </w:r>
      <w:r>
        <w:rPr>
          <w:sz w:val="28"/>
        </w:rPr>
        <w:t>d</w:t>
      </w:r>
      <w:r>
        <w:rPr>
          <w:sz w:val="28"/>
        </w:rPr>
        <w:t>hetőségének számos egyéb feltétele van. Ezeket a projekt menedzsmentjének kell biztosítani, azonban a feladatokról listákat, illetve mintákat adunk. Így:</w:t>
      </w:r>
    </w:p>
    <w:p w:rsidR="00F45F50" w:rsidRDefault="00F45F50">
      <w:pPr>
        <w:jc w:val="both"/>
        <w:rPr>
          <w:b/>
          <w:bCs/>
          <w:sz w:val="28"/>
          <w:u w:val="single"/>
        </w:rPr>
      </w:pPr>
    </w:p>
    <w:p w:rsidR="00F45F50" w:rsidRDefault="00F45F50">
      <w:pPr>
        <w:numPr>
          <w:ilvl w:val="1"/>
          <w:numId w:val="4"/>
        </w:numPr>
        <w:jc w:val="both"/>
        <w:rPr>
          <w:b/>
          <w:bCs/>
          <w:sz w:val="28"/>
          <w:u w:val="single"/>
        </w:rPr>
      </w:pPr>
      <w:r>
        <w:rPr>
          <w:sz w:val="28"/>
        </w:rPr>
        <w:t>Beszerzendő engedélyek jegyzéke</w:t>
      </w:r>
    </w:p>
    <w:p w:rsidR="00F45F50" w:rsidRDefault="00F45F50">
      <w:pPr>
        <w:numPr>
          <w:ilvl w:val="1"/>
          <w:numId w:val="4"/>
        </w:numPr>
        <w:jc w:val="both"/>
        <w:rPr>
          <w:b/>
          <w:bCs/>
          <w:sz w:val="28"/>
          <w:u w:val="single"/>
        </w:rPr>
      </w:pPr>
      <w:r>
        <w:rPr>
          <w:sz w:val="28"/>
        </w:rPr>
        <w:t>Tűz és balesetvédelmi szabályzat minta</w:t>
      </w:r>
    </w:p>
    <w:p w:rsidR="00F45F50" w:rsidRDefault="00F45F50">
      <w:pPr>
        <w:numPr>
          <w:ilvl w:val="1"/>
          <w:numId w:val="4"/>
        </w:numPr>
        <w:jc w:val="both"/>
        <w:rPr>
          <w:b/>
          <w:bCs/>
          <w:sz w:val="28"/>
          <w:u w:val="single"/>
        </w:rPr>
      </w:pPr>
      <w:r>
        <w:rPr>
          <w:sz w:val="28"/>
        </w:rPr>
        <w:t>Hulladékkezelési szabályzat minta</w:t>
      </w:r>
    </w:p>
    <w:p w:rsidR="00F45F50" w:rsidRDefault="00F45F50">
      <w:pPr>
        <w:numPr>
          <w:ilvl w:val="1"/>
          <w:numId w:val="4"/>
        </w:numPr>
        <w:jc w:val="both"/>
        <w:rPr>
          <w:b/>
          <w:bCs/>
          <w:sz w:val="28"/>
          <w:u w:val="single"/>
        </w:rPr>
      </w:pPr>
      <w:r>
        <w:rPr>
          <w:sz w:val="28"/>
        </w:rPr>
        <w:t>Berendezések szervizelési rendje</w:t>
      </w:r>
    </w:p>
    <w:p w:rsidR="00F45F50" w:rsidRDefault="00F45F50">
      <w:pPr>
        <w:ind w:left="2160"/>
        <w:jc w:val="both"/>
        <w:rPr>
          <w:b/>
          <w:bCs/>
          <w:sz w:val="28"/>
          <w:u w:val="single"/>
        </w:rPr>
      </w:pPr>
    </w:p>
    <w:p w:rsidR="00F45F50" w:rsidRDefault="00F45F50">
      <w:pPr>
        <w:numPr>
          <w:ilvl w:val="0"/>
          <w:numId w:val="4"/>
        </w:num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Üzemeltetés: </w:t>
      </w:r>
      <w:r>
        <w:rPr>
          <w:sz w:val="28"/>
        </w:rPr>
        <w:t>A beruházás a sikeres próbaüzemmel fejeződik be. A prób</w:t>
      </w:r>
      <w:r>
        <w:rPr>
          <w:sz w:val="28"/>
        </w:rPr>
        <w:t>a</w:t>
      </w:r>
      <w:r>
        <w:rPr>
          <w:sz w:val="28"/>
        </w:rPr>
        <w:t>üzem végéig az ott dolgozók betanítását is biztosítjuk. Az eredményes üz</w:t>
      </w:r>
      <w:r>
        <w:rPr>
          <w:sz w:val="28"/>
        </w:rPr>
        <w:t>e</w:t>
      </w:r>
      <w:r>
        <w:rPr>
          <w:sz w:val="28"/>
        </w:rPr>
        <w:t>meltetés fontos eleme – pellet üzem esetén – hogy a hőszolgáltatáshoz szü</w:t>
      </w:r>
      <w:r>
        <w:rPr>
          <w:sz w:val="28"/>
        </w:rPr>
        <w:t>k</w:t>
      </w:r>
      <w:r>
        <w:rPr>
          <w:sz w:val="28"/>
        </w:rPr>
        <w:t>séges pellet mennyiségen túli pelletet értékesíteni lehessen. Erre vonatkoz</w:t>
      </w:r>
      <w:r>
        <w:rPr>
          <w:sz w:val="28"/>
        </w:rPr>
        <w:t>ó</w:t>
      </w:r>
      <w:r>
        <w:rPr>
          <w:sz w:val="28"/>
        </w:rPr>
        <w:t>an partnert biztosítunk, amely hosszú távra szóló szerződéssel a pellet me</w:t>
      </w:r>
      <w:r>
        <w:rPr>
          <w:sz w:val="28"/>
        </w:rPr>
        <w:t>g</w:t>
      </w:r>
      <w:r>
        <w:rPr>
          <w:sz w:val="28"/>
        </w:rPr>
        <w:t>vásárlására kötelezettséget vállal.</w: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b/>
          <w:bCs/>
          <w:sz w:val="28"/>
          <w:u w:val="single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b/>
          <w:bCs/>
          <w:sz w:val="28"/>
          <w:u w:val="single"/>
        </w:rPr>
      </w:pPr>
    </w:p>
    <w:p w:rsidR="00F45F50" w:rsidRDefault="00F45F50">
      <w:pPr>
        <w:ind w:left="4320"/>
        <w:jc w:val="both"/>
        <w:rPr>
          <w:sz w:val="28"/>
        </w:rPr>
      </w:pPr>
    </w:p>
    <w:p w:rsidR="00F45F50" w:rsidRDefault="00F45F50">
      <w:pPr>
        <w:ind w:left="708"/>
        <w:jc w:val="both"/>
        <w:rPr>
          <w:sz w:val="28"/>
        </w:rPr>
      </w:pPr>
    </w:p>
    <w:p w:rsidR="00F45F50" w:rsidRDefault="00F45F50">
      <w:pPr>
        <w:pStyle w:val="Cmsor5"/>
        <w:numPr>
          <w:ilvl w:val="0"/>
          <w:numId w:val="1"/>
        </w:numPr>
        <w:rPr>
          <w:sz w:val="32"/>
        </w:rPr>
      </w:pPr>
      <w:r>
        <w:rPr>
          <w:sz w:val="32"/>
        </w:rPr>
        <w:t>A Projekt előkészítése</w:t>
      </w:r>
    </w:p>
    <w:p w:rsidR="00F45F50" w:rsidRDefault="00F45F50">
      <w:pPr>
        <w:ind w:left="360"/>
        <w:rPr>
          <w:sz w:val="28"/>
        </w:rPr>
      </w:pPr>
    </w:p>
    <w:p w:rsidR="00F45F50" w:rsidRDefault="00F45F50">
      <w:pPr>
        <w:pStyle w:val="Szvegtrzsbehzssal"/>
      </w:pPr>
      <w:r>
        <w:t>Cégünk – megállapodás szerinti mennyiségben – vállalja, hogy az Olajterv, mint az alakuló projekt cég többségi tulajdonosa számára konkrét , az előz</w:t>
      </w:r>
      <w:r>
        <w:t>ő</w:t>
      </w:r>
      <w:r>
        <w:t>ekben ismertetett rendszernek megfelelő tartalmú projekteket készít elő az alá</w:t>
      </w:r>
      <w:r>
        <w:t>b</w:t>
      </w:r>
      <w:r>
        <w:t>biak szerint:</w:t>
      </w: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pStyle w:val="Cmsor2"/>
        <w:numPr>
          <w:ilvl w:val="1"/>
          <w:numId w:val="1"/>
        </w:numPr>
        <w:rPr>
          <w:i w:val="0"/>
          <w:iCs w:val="0"/>
          <w:color w:val="auto"/>
        </w:rPr>
      </w:pPr>
      <w:r>
        <w:rPr>
          <w:i w:val="0"/>
          <w:iCs w:val="0"/>
          <w:color w:val="auto"/>
        </w:rPr>
        <w:t>Projekt cég összetétele</w:t>
      </w:r>
    </w:p>
    <w:p w:rsidR="00F45F50" w:rsidRDefault="00F45F50">
      <w:pPr>
        <w:ind w:left="1080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rect id="_x0000_s1130" style="position:absolute;left:0;text-align:left;margin-left:9pt;margin-top:1.4pt;width:450pt;height:251.6pt;z-index:251663872" filled="f" strokecolor="navy" strokeweight="2.25pt"/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28" type="#_x0000_t202" style="position:absolute;left:0;text-align:left;margin-left:306pt;margin-top:9.5pt;width:135pt;height:45pt;z-index:251661824">
            <v:textbox>
              <w:txbxContent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Esetleges helyi üz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z w:val="28"/>
                    </w:rPr>
                    <w:t>meltető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7" type="#_x0000_t202" style="position:absolute;left:0;text-align:left;margin-left:153pt;margin-top:9.5pt;width:2in;height:54pt;z-index:251660800">
            <v:textbox>
              <w:txbxContent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Helyi vállalkozás(ok)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Elsősorban alapanyag beszállító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6" type="#_x0000_t202" style="position:absolute;left:0;text-align:left;margin-left:18pt;margin-top:9.5pt;width:126pt;height:63pt;z-index:251659776">
            <v:textbox>
              <w:txbxContent>
                <w:p w:rsidR="00F45F50" w:rsidRDefault="00F45F50">
                  <w:pPr>
                    <w:pStyle w:val="Cmsor1"/>
                  </w:pPr>
                  <w:r>
                    <w:t>Önkormányzatok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(elsősorban apport 25% alatt)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29" type="#_x0000_t202" style="position:absolute;left:0;text-align:left;margin-left:36pt;margin-top:2.9pt;width:405pt;height:27pt;z-index:251662848" fillcolor="yellow" strokecolor="red" strokeweight="1.5pt">
            <v:textbox>
              <w:txbxContent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Többségi tulajdonos befektető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31" type="#_x0000_t202" style="position:absolute;left:0;text-align:left;margin-left:36pt;margin-top:5.3pt;width:405pt;height:100.9pt;z-index:251664896">
            <v:textbox>
              <w:txbxContent>
                <w:p w:rsidR="00F45F50" w:rsidRDefault="00F45F50">
                  <w:pPr>
                    <w:pStyle w:val="Cmsor6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A projekt cég tulajdonosi összetétele a helyi adottságoknak megfel</w:t>
                  </w:r>
                  <w:r>
                    <w:rPr>
                      <w:i/>
                      <w:iCs/>
                    </w:rPr>
                    <w:t>e</w:t>
                  </w:r>
                  <w:r>
                    <w:rPr>
                      <w:i/>
                      <w:iCs/>
                    </w:rPr>
                    <w:t>lően változhat. Az érdekeltség kialakítása miatt törekszünk, hogy a fenti szereplők a lehetőség szerint benne legyenek a cégben, de szé</w:t>
                  </w:r>
                  <w:r>
                    <w:rPr>
                      <w:i/>
                      <w:iCs/>
                    </w:rPr>
                    <w:t>l</w:t>
                  </w:r>
                  <w:r>
                    <w:rPr>
                      <w:i/>
                      <w:iCs/>
                    </w:rPr>
                    <w:t>sőséges esetben az is elképzelhető, hogy a befektető egyedüli tulajd</w:t>
                  </w:r>
                  <w:r>
                    <w:rPr>
                      <w:i/>
                      <w:iCs/>
                    </w:rPr>
                    <w:t>o</w:t>
                  </w:r>
                  <w:r>
                    <w:rPr>
                      <w:i/>
                      <w:iCs/>
                    </w:rPr>
                    <w:t>nos lesz. Az egyéb szereplőkkel való kapcsolatot, szerződésekben szabályozzák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ind w:left="360"/>
        <w:jc w:val="both"/>
        <w:rPr>
          <w:sz w:val="28"/>
        </w:rPr>
      </w:pPr>
    </w:p>
    <w:p w:rsidR="00F45F50" w:rsidRDefault="00F45F50">
      <w:pPr>
        <w:ind w:left="1980"/>
        <w:jc w:val="both"/>
        <w:rPr>
          <w:sz w:val="28"/>
          <w:u w:val="single"/>
        </w:rPr>
      </w:pPr>
    </w:p>
    <w:p w:rsidR="00F45F50" w:rsidRDefault="00F45F50">
      <w:pPr>
        <w:ind w:left="1416"/>
        <w:jc w:val="both"/>
        <w:rPr>
          <w:sz w:val="28"/>
        </w:rPr>
      </w:pPr>
    </w:p>
    <w:p w:rsidR="00F45F50" w:rsidRDefault="00F45F50">
      <w:pPr>
        <w:numPr>
          <w:ilvl w:val="1"/>
          <w:numId w:val="5"/>
        </w:numPr>
        <w:jc w:val="both"/>
        <w:rPr>
          <w:sz w:val="28"/>
          <w:u w:val="single"/>
        </w:rPr>
      </w:pPr>
      <w:r>
        <w:rPr>
          <w:sz w:val="28"/>
          <w:u w:val="single"/>
        </w:rPr>
        <w:t>A Cég törzs tőkéje</w:t>
      </w:r>
      <w:r>
        <w:rPr>
          <w:sz w:val="28"/>
        </w:rPr>
        <w:t xml:space="preserve"> Az alakítandó cég törzstőkéje két részből áll. Az apportból, amely elsődlegesen az önkormányzat (ok) visznek be. Ez lehet terület, fűtőmű, kazánházak.</w:t>
      </w:r>
      <w:r>
        <w:rPr>
          <w:rStyle w:val="Lbjegyzet-hivatkozs"/>
          <w:sz w:val="28"/>
        </w:rPr>
        <w:footnoteReference w:id="18"/>
      </w:r>
      <w:r>
        <w:rPr>
          <w:sz w:val="28"/>
        </w:rPr>
        <w:t xml:space="preserve"> És a beruházás megv</w:t>
      </w:r>
      <w:r>
        <w:rPr>
          <w:sz w:val="28"/>
        </w:rPr>
        <w:t>a</w:t>
      </w:r>
      <w:r>
        <w:rPr>
          <w:sz w:val="28"/>
        </w:rPr>
        <w:t>lósításához szükséges pénz. Pénzt vihet be az önkormányzat is, v</w:t>
      </w:r>
      <w:r>
        <w:rPr>
          <w:sz w:val="28"/>
        </w:rPr>
        <w:t>a</w:t>
      </w:r>
      <w:r>
        <w:rPr>
          <w:sz w:val="28"/>
        </w:rPr>
        <w:t>lamint az egyéb – belépni szándékozó – gazdálkodó vagy személy. Az Önkormányzat apportja nem forrása a beruházásnak. (Az ö</w:t>
      </w:r>
      <w:r>
        <w:rPr>
          <w:sz w:val="28"/>
        </w:rPr>
        <w:t>n</w:t>
      </w:r>
      <w:r>
        <w:rPr>
          <w:sz w:val="28"/>
        </w:rPr>
        <w:t>kormányzatok tulajdoni részaránya minden estben 25% alatt l</w:t>
      </w:r>
      <w:r>
        <w:rPr>
          <w:sz w:val="28"/>
        </w:rPr>
        <w:t>e</w:t>
      </w:r>
      <w:r>
        <w:rPr>
          <w:sz w:val="28"/>
        </w:rPr>
        <w:t>gyen.) A többségi tulajdonos a befektető. Ő dönti el, hogy a szü</w:t>
      </w:r>
      <w:r>
        <w:rPr>
          <w:sz w:val="28"/>
        </w:rPr>
        <w:t>k</w:t>
      </w:r>
      <w:r>
        <w:rPr>
          <w:sz w:val="28"/>
        </w:rPr>
        <w:t>séges pénzeszközt teljes egészében biztosítja a projekthez, vagy h</w:t>
      </w:r>
      <w:r>
        <w:rPr>
          <w:sz w:val="28"/>
        </w:rPr>
        <w:t>i</w:t>
      </w:r>
      <w:r>
        <w:rPr>
          <w:sz w:val="28"/>
        </w:rPr>
        <w:t>telt is igénybe vesz. (Hitel igénybevétele esetén a hitel ügyintézés nem része a vállalt projekt előkészítésnek, és azzal is számolni kell, hogy a hitel terhei csökkentik a vállalkozás pénzügyi eredm</w:t>
      </w:r>
      <w:r>
        <w:rPr>
          <w:sz w:val="28"/>
        </w:rPr>
        <w:t>é</w:t>
      </w:r>
      <w:r>
        <w:rPr>
          <w:sz w:val="28"/>
        </w:rPr>
        <w:t>nyét)</w:t>
      </w:r>
    </w:p>
    <w:p w:rsidR="00F45F50" w:rsidRDefault="00F45F50">
      <w:pPr>
        <w:ind w:left="1080"/>
        <w:jc w:val="both"/>
        <w:rPr>
          <w:sz w:val="28"/>
          <w:u w:val="single"/>
        </w:rPr>
      </w:pPr>
    </w:p>
    <w:p w:rsidR="00F45F50" w:rsidRDefault="00F45F50">
      <w:pPr>
        <w:numPr>
          <w:ilvl w:val="1"/>
          <w:numId w:val="5"/>
        </w:numPr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 A menedzsment. </w:t>
      </w:r>
      <w:r>
        <w:rPr>
          <w:sz w:val="28"/>
        </w:rPr>
        <w:t>A projekt cég menedzsmentjét a többségi tula</w:t>
      </w:r>
      <w:r>
        <w:rPr>
          <w:sz w:val="28"/>
        </w:rPr>
        <w:t>j</w:t>
      </w:r>
      <w:r>
        <w:rPr>
          <w:sz w:val="28"/>
        </w:rPr>
        <w:t xml:space="preserve">donos alakítja ki </w:t>
      </w:r>
    </w:p>
    <w:p w:rsidR="00F45F50" w:rsidRDefault="00F45F50">
      <w:pPr>
        <w:jc w:val="both"/>
        <w:rPr>
          <w:sz w:val="28"/>
          <w:u w:val="single"/>
        </w:rPr>
      </w:pPr>
    </w:p>
    <w:p w:rsidR="00F45F50" w:rsidRDefault="00F45F50">
      <w:pPr>
        <w:pStyle w:val="Cmsor7"/>
        <w:rPr>
          <w:u w:val="none"/>
        </w:rPr>
      </w:pPr>
      <w:r>
        <w:rPr>
          <w:b/>
          <w:bCs/>
        </w:rPr>
        <w:t xml:space="preserve">A projekt megvalósításának szakaszai. </w:t>
      </w:r>
      <w:r>
        <w:rPr>
          <w:u w:val="none"/>
        </w:rPr>
        <w:t>A projekt megvalósítás több lé</w:t>
      </w:r>
      <w:r>
        <w:rPr>
          <w:u w:val="none"/>
        </w:rPr>
        <w:t>p</w:t>
      </w:r>
      <w:r>
        <w:rPr>
          <w:u w:val="none"/>
        </w:rPr>
        <w:t>csőben történik. Minden lépcső valamilyen „konkrét termékhez” vagy hatá</w:t>
      </w:r>
      <w:r>
        <w:rPr>
          <w:u w:val="none"/>
        </w:rPr>
        <w:t>r</w:t>
      </w:r>
      <w:r>
        <w:rPr>
          <w:u w:val="none"/>
        </w:rPr>
        <w:t>kőhöz kö</w:t>
      </w:r>
      <w:r>
        <w:rPr>
          <w:u w:val="none"/>
        </w:rPr>
        <w:t>t</w:t>
      </w:r>
      <w:r>
        <w:rPr>
          <w:u w:val="none"/>
        </w:rPr>
        <w:t xml:space="preserve">hető. </w:t>
      </w:r>
    </w:p>
    <w:p w:rsidR="00F45F50" w:rsidRDefault="00F45F50"/>
    <w:p w:rsidR="00F45F50" w:rsidRDefault="00F45F50">
      <w:pPr>
        <w:numPr>
          <w:ilvl w:val="1"/>
          <w:numId w:val="5"/>
        </w:numPr>
        <w:rPr>
          <w:sz w:val="28"/>
          <w:u w:val="single"/>
        </w:rPr>
      </w:pPr>
      <w:r>
        <w:rPr>
          <w:sz w:val="28"/>
          <w:u w:val="single"/>
        </w:rPr>
        <w:t xml:space="preserve">Előkészítés. </w:t>
      </w:r>
      <w:r>
        <w:rPr>
          <w:sz w:val="28"/>
        </w:rPr>
        <w:t>Az előkészítés tulajdonképpen a projekt összeállítása az ismertetett tartalommal és peremfeltételekkel.</w:t>
      </w:r>
    </w:p>
    <w:p w:rsidR="00F45F50" w:rsidRDefault="00F45F50">
      <w:pPr>
        <w:ind w:left="1080"/>
        <w:rPr>
          <w:b/>
          <w:bCs/>
          <w:sz w:val="28"/>
          <w:u w:val="single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rect id="_x0000_s1151" style="position:absolute;left:0;text-align:left;margin-left:-27pt;margin-top:11.05pt;width:7in;height:460.25pt;z-index:251684352" filled="f" strokecolor="red" strokeweight="2.25pt"/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34" type="#_x0000_t202" style="position:absolute;left:0;text-align:left;margin-left:5in;margin-top:7.2pt;width:108pt;height:214pt;z-index:251666944" fillcolor="#ff9">
            <v:textbox>
              <w:txbxContent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28"/>
                      <w:u w:val="single"/>
                    </w:rPr>
                    <w:t>Előzetes me</w:t>
                  </w:r>
                  <w:r>
                    <w:rPr>
                      <w:b/>
                      <w:bCs/>
                      <w:i/>
                      <w:iCs/>
                      <w:color w:val="FF0000"/>
                      <w:sz w:val="28"/>
                      <w:u w:val="single"/>
                    </w:rPr>
                    <w:t>g</w:t>
                  </w:r>
                  <w:r>
                    <w:rPr>
                      <w:b/>
                      <w:bCs/>
                      <w:i/>
                      <w:iCs/>
                      <w:color w:val="FF0000"/>
                      <w:sz w:val="28"/>
                      <w:u w:val="single"/>
                    </w:rPr>
                    <w:t>valósíthatósági tanulmány</w:t>
                  </w:r>
                  <w:r>
                    <w:rPr>
                      <w:b/>
                      <w:bCs/>
                      <w:color w:val="FF0000"/>
                      <w:sz w:val="28"/>
                    </w:rPr>
                    <w:t>,</w:t>
                  </w:r>
                  <w:r>
                    <w:rPr>
                      <w:sz w:val="28"/>
                    </w:rPr>
                    <w:t xml:space="preserve"> döntés előkész</w:t>
                  </w:r>
                  <w:r>
                    <w:rPr>
                      <w:sz w:val="28"/>
                    </w:rPr>
                    <w:t>í</w:t>
                  </w:r>
                  <w:r>
                    <w:rPr>
                      <w:sz w:val="28"/>
                    </w:rPr>
                    <w:t>tésre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28"/>
                      <w:u w:val="single"/>
                    </w:rPr>
                    <w:t>Szándéknyila</w:t>
                  </w:r>
                  <w:r>
                    <w:rPr>
                      <w:b/>
                      <w:bCs/>
                      <w:i/>
                      <w:iCs/>
                      <w:color w:val="FF0000"/>
                      <w:sz w:val="28"/>
                      <w:u w:val="single"/>
                    </w:rPr>
                    <w:t>t</w:t>
                  </w:r>
                  <w:r>
                    <w:rPr>
                      <w:b/>
                      <w:bCs/>
                      <w:i/>
                      <w:iCs/>
                      <w:color w:val="FF0000"/>
                      <w:sz w:val="28"/>
                      <w:u w:val="single"/>
                    </w:rPr>
                    <w:t>kozatok</w:t>
                  </w:r>
                  <w:r>
                    <w:rPr>
                      <w:b/>
                      <w:bCs/>
                      <w:i/>
                      <w:iCs/>
                      <w:sz w:val="28"/>
                      <w:u w:val="single"/>
                    </w:rPr>
                    <w:t>.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(társulásról, alapanyag, hő, késztermék é</w:t>
                  </w:r>
                  <w:r>
                    <w:rPr>
                      <w:sz w:val="28"/>
                    </w:rPr>
                    <w:t>r</w:t>
                  </w:r>
                  <w:r>
                    <w:rPr>
                      <w:sz w:val="28"/>
                    </w:rPr>
                    <w:t>tékes</w:t>
                  </w:r>
                  <w:r>
                    <w:rPr>
                      <w:sz w:val="28"/>
                    </w:rPr>
                    <w:t>í</w:t>
                  </w:r>
                  <w:r>
                    <w:rPr>
                      <w:sz w:val="28"/>
                    </w:rPr>
                    <w:t>tés)</w:t>
                  </w:r>
                </w:p>
                <w:p w:rsidR="00F45F50" w:rsidRDefault="00F45F50">
                  <w:pPr>
                    <w:ind w:left="360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36" type="#_x0000_t202" style="position:absolute;left:0;text-align:left;margin-left:171pt;margin-top:7.2pt;width:2in;height:36pt;z-index:251668992">
            <v:textbox>
              <w:txbxContent>
                <w:p w:rsidR="00F45F50" w:rsidRDefault="00F45F50">
                  <w:pPr>
                    <w:jc w:val="center"/>
                  </w:pPr>
                  <w:r>
                    <w:t>Szándékfelmérés (kik lesznek a cégben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46" style="position:absolute;left:0;text-align:left;z-index:251679232" from="315pt,.15pt" to="5in,63.15pt">
            <v:stroke endarrow="block"/>
          </v:line>
        </w:pict>
      </w:r>
      <w:r>
        <w:rPr>
          <w:noProof/>
          <w:sz w:val="20"/>
        </w:rPr>
        <w:pict>
          <v:line id="_x0000_s1141" style="position:absolute;left:0;text-align:left;flip:y;z-index:251674112" from="126pt,9.15pt" to="171pt,81.1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33" type="#_x0000_t202" style="position:absolute;left:0;text-align:left;margin-left:-18pt;margin-top:11.05pt;width:2in;height:132.95pt;z-index:251665920">
            <v:textbox>
              <w:txbxContent>
                <w:p w:rsidR="00F45F50" w:rsidRDefault="00F45F50">
                  <w:pPr>
                    <w:pStyle w:val="Cmsor1"/>
                    <w:jc w:val="center"/>
                    <w:rPr>
                      <w:b/>
                      <w:bCs/>
                      <w:color w:val="FF0000"/>
                      <w:u w:val="single"/>
                    </w:rPr>
                  </w:pPr>
                  <w:r>
                    <w:rPr>
                      <w:b/>
                      <w:bCs/>
                      <w:color w:val="FF0000"/>
                      <w:u w:val="single"/>
                    </w:rPr>
                    <w:t>Sze</w:t>
                  </w:r>
                  <w:r>
                    <w:rPr>
                      <w:b/>
                      <w:bCs/>
                      <w:color w:val="FF0000"/>
                      <w:u w:val="single"/>
                    </w:rPr>
                    <w:t>r</w:t>
                  </w:r>
                  <w:r>
                    <w:rPr>
                      <w:b/>
                      <w:bCs/>
                      <w:color w:val="FF0000"/>
                      <w:u w:val="single"/>
                    </w:rPr>
                    <w:t>vezés</w:t>
                  </w:r>
                </w:p>
                <w:p w:rsidR="00F45F50" w:rsidRDefault="00F45F50">
                  <w:pPr>
                    <w:pStyle w:val="Szvegtrzs"/>
                  </w:pPr>
                  <w:r>
                    <w:rPr>
                      <w:b w:val="0"/>
                      <w:bCs w:val="0"/>
                      <w:sz w:val="28"/>
                    </w:rPr>
                    <w:t>Konkrét javaslat a pr</w:t>
                  </w:r>
                  <w:r>
                    <w:rPr>
                      <w:b w:val="0"/>
                      <w:bCs w:val="0"/>
                      <w:sz w:val="28"/>
                    </w:rPr>
                    <w:t>o</w:t>
                  </w:r>
                  <w:r>
                    <w:rPr>
                      <w:b w:val="0"/>
                      <w:bCs w:val="0"/>
                      <w:sz w:val="28"/>
                    </w:rPr>
                    <w:t>jekt cég létrehozására. (tulajdonosi összetétel, beruházás várható nagysága, üzemelt</w:t>
                  </w:r>
                  <w:r>
                    <w:rPr>
                      <w:b w:val="0"/>
                      <w:bCs w:val="0"/>
                      <w:sz w:val="28"/>
                    </w:rPr>
                    <w:t>e</w:t>
                  </w:r>
                  <w:r>
                    <w:rPr>
                      <w:b w:val="0"/>
                      <w:bCs w:val="0"/>
                      <w:sz w:val="28"/>
                    </w:rPr>
                    <w:t>tés</w:t>
                  </w:r>
                  <w:r>
                    <w:t>)</w:t>
                  </w:r>
                </w:p>
                <w:p w:rsidR="00F45F50" w:rsidRDefault="00F45F50">
                  <w:pPr>
                    <w:ind w:left="360"/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37" type="#_x0000_t202" style="position:absolute;left:0;text-align:left;margin-left:171pt;margin-top:3.95pt;width:2in;height:36pt;z-index:251670016">
            <v:textbox>
              <w:txbxContent>
                <w:p w:rsidR="00F45F50" w:rsidRDefault="00F45F50">
                  <w:pPr>
                    <w:jc w:val="center"/>
                  </w:pPr>
                  <w:r>
                    <w:t>Jelenlegi helyzet felmérés (egységek gázfogyasztása)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49" style="position:absolute;left:0;text-align:left;flip:y;z-index:251682304" from="315pt,14.85pt" to="5in,95.85pt">
            <v:stroke endarrow="block"/>
          </v:line>
        </w:pict>
      </w:r>
      <w:r>
        <w:rPr>
          <w:noProof/>
          <w:sz w:val="20"/>
        </w:rPr>
        <w:pict>
          <v:line id="_x0000_s1148" style="position:absolute;left:0;text-align:left;flip:y;z-index:251681280" from="315pt,14.85pt" to="5in,50.85pt">
            <v:stroke endarrow="block"/>
          </v:line>
        </w:pict>
      </w:r>
      <w:r>
        <w:rPr>
          <w:noProof/>
          <w:sz w:val="20"/>
        </w:rPr>
        <w:pict>
          <v:line id="_x0000_s1147" style="position:absolute;left:0;text-align:left;z-index:251680256" from="315pt,5.85pt" to="5in,14.85pt">
            <v:stroke endarrow="block"/>
          </v:line>
        </w:pict>
      </w:r>
      <w:r>
        <w:rPr>
          <w:noProof/>
          <w:sz w:val="20"/>
        </w:rPr>
        <w:pict>
          <v:line id="_x0000_s1142" style="position:absolute;left:0;text-align:left;flip:y;z-index:251675136" from="126pt,5.85pt" to="171pt,32.8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50" style="position:absolute;left:0;text-align:left;flip:y;z-index:251683328" from="315pt,7.75pt" to="5in,124.7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45" style="position:absolute;left:0;text-align:left;z-index:251678208" from="126pt,.65pt" to="171pt,99.65pt">
            <v:stroke endarrow="block"/>
          </v:line>
        </w:pict>
      </w:r>
      <w:r>
        <w:rPr>
          <w:noProof/>
          <w:sz w:val="20"/>
        </w:rPr>
        <w:pict>
          <v:line id="_x0000_s1144" style="position:absolute;left:0;text-align:left;z-index:251677184" from="126pt,.65pt" to="171pt,54.65pt">
            <v:stroke endarrow="block"/>
          </v:line>
        </w:pict>
      </w:r>
      <w:r>
        <w:rPr>
          <w:noProof/>
          <w:sz w:val="20"/>
        </w:rPr>
        <w:pict>
          <v:line id="_x0000_s1143" style="position:absolute;left:0;text-align:left;z-index:251676160" from="126pt,.65pt" to="171pt,27.65pt">
            <v:stroke endarrow="block"/>
          </v:line>
        </w:pict>
      </w:r>
      <w:r>
        <w:rPr>
          <w:noProof/>
          <w:sz w:val="20"/>
        </w:rPr>
        <w:pict>
          <v:shape id="_x0000_s1138" type="#_x0000_t202" style="position:absolute;left:0;text-align:left;margin-left:171pt;margin-top:.65pt;width:2in;height:36pt;z-index:251671040">
            <v:textbox>
              <w:txbxContent>
                <w:p w:rsidR="00F45F50" w:rsidRDefault="00F45F50">
                  <w:pPr>
                    <w:jc w:val="center"/>
                  </w:pPr>
                  <w:r>
                    <w:t>Beruházási szükséglet előzetes felmérése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39" type="#_x0000_t202" style="position:absolute;left:0;text-align:left;margin-left:171pt;margin-top:13.45pt;width:2in;height:36pt;z-index:251672064">
            <v:textbox>
              <w:txbxContent>
                <w:p w:rsidR="00F45F50" w:rsidRDefault="00F45F50">
                  <w:pPr>
                    <w:jc w:val="center"/>
                  </w:pPr>
                  <w:r>
                    <w:t>Alapanyag biztosítás leh</w:t>
                  </w:r>
                  <w:r>
                    <w:t>e</w:t>
                  </w:r>
                  <w:r>
                    <w:t>tősége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40" type="#_x0000_t202" style="position:absolute;left:0;text-align:left;margin-left:171pt;margin-top:10.15pt;width:2in;height:27pt;z-index:251673088">
            <v:textbox>
              <w:txbxContent>
                <w:p w:rsidR="00F45F50" w:rsidRDefault="00F45F50">
                  <w:pPr>
                    <w:jc w:val="center"/>
                  </w:pPr>
                  <w:r>
                    <w:t>Értékesítés lehetősége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35" type="#_x0000_t202" style="position:absolute;left:0;text-align:left;margin-left:0;margin-top:4.85pt;width:459pt;height:201.2pt;z-index:251667968">
            <v:textbox>
              <w:txbxContent>
                <w:p w:rsidR="00F45F50" w:rsidRDefault="00F45F50">
                  <w:pPr>
                    <w:jc w:val="both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u w:val="double"/>
                    </w:rPr>
                    <w:t xml:space="preserve">A szándéknyilatkozatoknak tartalmaznia kell </w:t>
                  </w:r>
                  <w:r>
                    <w:rPr>
                      <w:i/>
                      <w:iCs/>
                      <w:sz w:val="28"/>
                    </w:rPr>
                    <w:t>a befektetőn kívüli tulajdono</w:t>
                  </w:r>
                  <w:r>
                    <w:rPr>
                      <w:i/>
                      <w:iCs/>
                      <w:sz w:val="28"/>
                    </w:rPr>
                    <w:t>s</w:t>
                  </w:r>
                  <w:r>
                    <w:rPr>
                      <w:i/>
                      <w:iCs/>
                      <w:sz w:val="28"/>
                    </w:rPr>
                    <w:t>társak tervezett pénzbeni hozzájárulásukat, és az apportként bevinni tervezett objektumok értékét. A beszállítók általi alapanyag mennyiségét, és tervezett árait. A projekt cég által szolgáltatott hő átvenni tervezett mennyis</w:t>
                  </w:r>
                  <w:r>
                    <w:rPr>
                      <w:i/>
                      <w:iCs/>
                      <w:sz w:val="28"/>
                    </w:rPr>
                    <w:t>é</w:t>
                  </w:r>
                  <w:r>
                    <w:rPr>
                      <w:i/>
                      <w:iCs/>
                      <w:sz w:val="28"/>
                    </w:rPr>
                    <w:t>gét és árát. Az értékesítésre tervezett tüzelőanyag átvételére vonatkozóan a me</w:t>
                  </w:r>
                  <w:r>
                    <w:rPr>
                      <w:i/>
                      <w:iCs/>
                      <w:sz w:val="28"/>
                    </w:rPr>
                    <w:t>n</w:t>
                  </w:r>
                  <w:r>
                    <w:rPr>
                      <w:i/>
                      <w:iCs/>
                      <w:sz w:val="28"/>
                    </w:rPr>
                    <w:t xml:space="preserve">nyiséget és az árat. </w:t>
                  </w:r>
                  <w:r>
                    <w:rPr>
                      <w:b/>
                      <w:bCs/>
                      <w:i/>
                      <w:iCs/>
                      <w:sz w:val="28"/>
                      <w:u w:val="double"/>
                    </w:rPr>
                    <w:t>Peremfeltételek:</w:t>
                  </w:r>
                  <w:r>
                    <w:rPr>
                      <w:i/>
                      <w:iCs/>
                      <w:sz w:val="28"/>
                    </w:rPr>
                    <w:t xml:space="preserve"> A rendszer leírásban meghatározott értékeket a te</w:t>
                  </w:r>
                  <w:r>
                    <w:rPr>
                      <w:i/>
                      <w:iCs/>
                      <w:sz w:val="28"/>
                    </w:rPr>
                    <w:t>r</w:t>
                  </w:r>
                  <w:r>
                    <w:rPr>
                      <w:i/>
                      <w:iCs/>
                      <w:sz w:val="28"/>
                    </w:rPr>
                    <w:t>vezett projektnek biztosítania kell. Így: Az Önkormányzati inté</w:t>
                  </w:r>
                  <w:r>
                    <w:rPr>
                      <w:i/>
                      <w:iCs/>
                      <w:sz w:val="28"/>
                    </w:rPr>
                    <w:t>z</w:t>
                  </w:r>
                  <w:r>
                    <w:rPr>
                      <w:i/>
                      <w:iCs/>
                      <w:sz w:val="28"/>
                    </w:rPr>
                    <w:t>mények fűtési (bruttó) költsége a gáz jelenlegi árával számítotthoz viszonyítva –30%. Az b</w:t>
                  </w:r>
                  <w:r>
                    <w:rPr>
                      <w:i/>
                      <w:iCs/>
                      <w:sz w:val="28"/>
                    </w:rPr>
                    <w:t>e</w:t>
                  </w:r>
                  <w:r>
                    <w:rPr>
                      <w:i/>
                      <w:iCs/>
                      <w:sz w:val="28"/>
                    </w:rPr>
                    <w:t>fektető befektetett pénzösszege maximum 6 év alatt megtérül. Ezt az el</w:t>
                  </w:r>
                  <w:r>
                    <w:rPr>
                      <w:i/>
                      <w:iCs/>
                      <w:sz w:val="28"/>
                    </w:rPr>
                    <w:t>ő</w:t>
                  </w:r>
                  <w:r>
                    <w:rPr>
                      <w:i/>
                      <w:iCs/>
                      <w:sz w:val="28"/>
                    </w:rPr>
                    <w:t>zetes megvalósíthatósági tanulmánynak kell dokumentálni. A tanulmányt (és mellé</w:t>
                  </w:r>
                  <w:r>
                    <w:rPr>
                      <w:i/>
                      <w:iCs/>
                      <w:sz w:val="28"/>
                    </w:rPr>
                    <w:t>k</w:t>
                  </w:r>
                  <w:r>
                    <w:rPr>
                      <w:i/>
                      <w:iCs/>
                      <w:sz w:val="28"/>
                    </w:rPr>
                    <w:t xml:space="preserve">leteit) </w:t>
                  </w:r>
                  <w:r>
                    <w:rPr>
                      <w:b/>
                      <w:bCs/>
                      <w:i/>
                      <w:iCs/>
                      <w:color w:val="000080"/>
                      <w:sz w:val="28"/>
                      <w:u w:val="double"/>
                    </w:rPr>
                    <w:t>a projekt cég leendő tulajdonosai zsűrizik</w:t>
                  </w:r>
                  <w:r>
                    <w:rPr>
                      <w:b/>
                      <w:bCs/>
                      <w:i/>
                      <w:iCs/>
                      <w:sz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ind w:left="420"/>
      </w:pPr>
    </w:p>
    <w:p w:rsidR="00F45F50" w:rsidRDefault="00F45F50">
      <w:pPr>
        <w:rPr>
          <w:sz w:val="28"/>
        </w:rPr>
      </w:pPr>
    </w:p>
    <w:p w:rsidR="00F45F50" w:rsidRDefault="00F45F50">
      <w:pPr>
        <w:rPr>
          <w:sz w:val="28"/>
        </w:rPr>
      </w:pPr>
    </w:p>
    <w:p w:rsidR="00F45F50" w:rsidRDefault="00F45F50">
      <w:pPr>
        <w:rPr>
          <w:sz w:val="28"/>
        </w:rPr>
      </w:pPr>
    </w:p>
    <w:p w:rsidR="00F45F50" w:rsidRDefault="00F45F50">
      <w:pPr>
        <w:rPr>
          <w:sz w:val="28"/>
        </w:rPr>
      </w:pPr>
    </w:p>
    <w:p w:rsidR="00F45F50" w:rsidRDefault="00F45F50">
      <w:pPr>
        <w:jc w:val="both"/>
        <w:rPr>
          <w:sz w:val="28"/>
          <w:u w:val="single"/>
        </w:rPr>
      </w:pPr>
    </w:p>
    <w:p w:rsidR="00F45F50" w:rsidRDefault="00F45F50">
      <w:pPr>
        <w:pStyle w:val="Cmsor6"/>
        <w:ind w:left="1416"/>
      </w:pPr>
      <w:r>
        <w:t>E szakasz végtermékének tekinthető az előzetes megvalósíthatósági tanulmány. Ennek azt kell dokumentálni, hogy a létrehozandó pr</w:t>
      </w:r>
      <w:r>
        <w:t>o</w:t>
      </w:r>
      <w:r>
        <w:t>jekt, teljesíti a rendszerben garantált peremfeltételeket. Az adatok valódiságát aláírt szándéknyilatkozatokkal kell dokumentálni. A szándéknyilatkozatoknak,</w:t>
      </w:r>
      <w:r>
        <w:rPr>
          <w:rStyle w:val="Lbjegyzet-hivatkozs"/>
        </w:rPr>
        <w:footnoteReference w:id="19"/>
      </w:r>
      <w:r>
        <w:t>azonban a mellékletben szereplő szerz</w:t>
      </w:r>
      <w:r>
        <w:t>ő</w:t>
      </w:r>
      <w:r>
        <w:t>désekkel azonos tartalmúnak kell lenni, azzal a záradékkal, hogy a projekt cég megalakulásakor a végleges szerződést automatikusan megkötik. Ez a szakasz az előzetes tanulmány jóváhagyásával zárul. A jóváhagyással megtörtént a beruházás konkrét tartalmának me</w:t>
      </w:r>
      <w:r>
        <w:t>g</w:t>
      </w:r>
      <w:r>
        <w:t>határozása is</w:t>
      </w:r>
    </w:p>
    <w:p w:rsidR="00F45F50" w:rsidRDefault="00F45F50">
      <w:pPr>
        <w:numPr>
          <w:ilvl w:val="1"/>
          <w:numId w:val="5"/>
        </w:numPr>
        <w:jc w:val="both"/>
        <w:rPr>
          <w:sz w:val="28"/>
          <w:u w:val="single"/>
        </w:rPr>
      </w:pPr>
      <w:r>
        <w:rPr>
          <w:sz w:val="28"/>
          <w:u w:val="single"/>
        </w:rPr>
        <w:t xml:space="preserve">A pályázati szakasz. </w: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rect id="_x0000_s1176" style="position:absolute;left:0;text-align:left;margin-left:-9pt;margin-top:11.9pt;width:477pt;height:468pt;z-index:251709952" filled="f" strokecolor="red" strokeweight="2.25pt"/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62" style="position:absolute;left:0;text-align:left;flip:y;z-index:251695616" from="117pt,10.9pt" to="2in,127.9pt">
            <v:stroke endarrow="block"/>
          </v:line>
        </w:pict>
      </w:r>
      <w:r>
        <w:rPr>
          <w:noProof/>
          <w:sz w:val="20"/>
        </w:rPr>
        <w:pict>
          <v:shape id="_x0000_s1152" type="#_x0000_t202" style="position:absolute;left:0;text-align:left;margin-left:0;margin-top:10.9pt;width:117pt;height:235.9pt;z-index:251685376">
            <v:textbox>
              <w:txbxContent>
                <w:p w:rsidR="00F45F50" w:rsidRDefault="00F45F50">
                  <w:pPr>
                    <w:pStyle w:val="Szvegtrzs3"/>
                    <w:rPr>
                      <w:color w:val="FF0000"/>
                      <w:u w:val="single"/>
                    </w:rPr>
                  </w:pPr>
                  <w:r>
                    <w:rPr>
                      <w:color w:val="FF0000"/>
                      <w:sz w:val="28"/>
                      <w:u w:val="single"/>
                    </w:rPr>
                    <w:t>Pályázat elők</w:t>
                  </w:r>
                  <w:r>
                    <w:rPr>
                      <w:color w:val="FF0000"/>
                      <w:sz w:val="28"/>
                      <w:u w:val="single"/>
                    </w:rPr>
                    <w:t>é</w:t>
                  </w:r>
                  <w:r>
                    <w:rPr>
                      <w:color w:val="FF0000"/>
                      <w:sz w:val="28"/>
                      <w:u w:val="single"/>
                    </w:rPr>
                    <w:t>szítés</w:t>
                  </w:r>
                  <w:r>
                    <w:rPr>
                      <w:color w:val="FF0000"/>
                      <w:u w:val="single"/>
                    </w:rPr>
                    <w:t xml:space="preserve">. 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(Közös fel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z w:val="28"/>
                    </w:rPr>
                    <w:t>dat)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Határkövek: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</w:p>
                <w:p w:rsidR="00F45F50" w:rsidRDefault="00F45F50">
                  <w:pPr>
                    <w:pStyle w:val="Szvegtrzs2"/>
                    <w:numPr>
                      <w:ilvl w:val="0"/>
                      <w:numId w:val="6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Cég b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z w:val="28"/>
                    </w:rPr>
                    <w:t>jegyzése.</w:t>
                  </w:r>
                </w:p>
                <w:p w:rsidR="00F45F50" w:rsidRDefault="00F45F50">
                  <w:pPr>
                    <w:pStyle w:val="Szvegtrzs2"/>
                    <w:numPr>
                      <w:ilvl w:val="0"/>
                      <w:numId w:val="6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Megval</w:t>
                  </w:r>
                  <w:r>
                    <w:rPr>
                      <w:sz w:val="28"/>
                    </w:rPr>
                    <w:t>ó</w:t>
                  </w:r>
                  <w:r>
                    <w:rPr>
                      <w:sz w:val="28"/>
                    </w:rPr>
                    <w:t>síthatósági tanulmány elfogadása</w:t>
                  </w:r>
                </w:p>
                <w:p w:rsidR="00F45F50" w:rsidRDefault="00F45F50">
                  <w:pPr>
                    <w:pStyle w:val="Szvegtrzs2"/>
                    <w:numPr>
                      <w:ilvl w:val="0"/>
                      <w:numId w:val="6"/>
                    </w:numPr>
                  </w:pPr>
                  <w:r>
                    <w:rPr>
                      <w:sz w:val="28"/>
                    </w:rPr>
                    <w:t>Pályázat befogadása</w:t>
                  </w:r>
                </w:p>
                <w:p w:rsidR="00F45F50" w:rsidRDefault="00F45F50">
                  <w:pPr>
                    <w:pStyle w:val="Szvegtrzs2"/>
                  </w:pP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55" type="#_x0000_t202" style="position:absolute;left:0;text-align:left;margin-left:2in;margin-top:9pt;width:162pt;height:27pt;z-index:251688448">
            <v:textbox>
              <w:txbxContent>
                <w:p w:rsidR="00F45F50" w:rsidRDefault="00F45F50">
                  <w:pPr>
                    <w:jc w:val="center"/>
                  </w:pPr>
                  <w:r>
                    <w:t>Projekt cég megalakítás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57" type="#_x0000_t202" style="position:absolute;left:0;text-align:left;margin-left:342pt;margin-top:12.8pt;width:108pt;height:2in;z-index:251690496" fillcolor="yellow">
            <v:textbox>
              <w:txbxContent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Megvalósíthat</w:t>
                  </w:r>
                  <w:r>
                    <w:rPr>
                      <w:sz w:val="28"/>
                    </w:rPr>
                    <w:t>ó</w:t>
                  </w:r>
                  <w:r>
                    <w:rPr>
                      <w:sz w:val="28"/>
                    </w:rPr>
                    <w:t>sági tanulmány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Pályázat</w:t>
                  </w: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</w:p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Támogatási szerződés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169" style="position:absolute;left:0;text-align:left;z-index:251702784" from="306pt,3.8pt" to="342pt,84.8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54" type="#_x0000_t202" style="position:absolute;left:0;text-align:left;margin-left:2in;margin-top:12.8pt;width:162pt;height:27pt;z-index:251687424">
            <v:textbox inset=",0,,0">
              <w:txbxContent>
                <w:p w:rsidR="00F45F50" w:rsidRDefault="00F45F50">
                  <w:pPr>
                    <w:jc w:val="center"/>
                  </w:pPr>
                  <w:r>
                    <w:t>Cégmenedzsment kialak</w:t>
                  </w:r>
                  <w:r>
                    <w:t>í</w:t>
                  </w:r>
                  <w:r>
                    <w:t>tása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70" style="position:absolute;left:0;text-align:left;z-index:251703808" from="306pt,7.6pt" to="342pt,52.6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63" style="position:absolute;left:0;text-align:left;flip:y;z-index:251696640" from="117pt,.5pt" to="2in,63.5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53" type="#_x0000_t202" style="position:absolute;left:0;text-align:left;margin-left:2in;margin-top:.5pt;width:162pt;height:27pt;z-index:251686400">
            <v:textbox>
              <w:txbxContent>
                <w:p w:rsidR="00F45F50" w:rsidRDefault="00F45F50">
                  <w:pPr>
                    <w:jc w:val="center"/>
                  </w:pPr>
                  <w:r>
                    <w:t>Engedélyek beszerzése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75" style="position:absolute;left:0;text-align:left;flip:y;z-index:251708928" from="306pt,4.3pt" to="342pt,130.3pt">
            <v:stroke endarrow="block"/>
          </v:line>
        </w:pict>
      </w:r>
      <w:r>
        <w:rPr>
          <w:noProof/>
          <w:sz w:val="20"/>
        </w:rPr>
        <w:pict>
          <v:line id="_x0000_s1174" style="position:absolute;left:0;text-align:left;flip:y;z-index:251707904" from="306pt,4.3pt" to="342pt,103.3pt">
            <v:stroke endarrow="block"/>
          </v:line>
        </w:pict>
      </w:r>
      <w:r>
        <w:rPr>
          <w:noProof/>
          <w:sz w:val="20"/>
        </w:rPr>
        <w:pict>
          <v:line id="_x0000_s1173" style="position:absolute;left:0;text-align:left;flip:y;z-index:251706880" from="306pt,4.3pt" to="342pt,67.3pt">
            <v:stroke endarrow="block"/>
          </v:line>
        </w:pict>
      </w:r>
      <w:r>
        <w:rPr>
          <w:noProof/>
          <w:sz w:val="20"/>
        </w:rPr>
        <w:pict>
          <v:line id="_x0000_s1172" style="position:absolute;left:0;text-align:left;flip:y;z-index:251705856" from="306pt,4.3pt" to="342pt,31.3pt">
            <v:stroke endarrow="block"/>
          </v:line>
        </w:pict>
      </w:r>
      <w:r>
        <w:rPr>
          <w:noProof/>
          <w:sz w:val="20"/>
        </w:rPr>
        <w:pict>
          <v:line id="_x0000_s1171" style="position:absolute;left:0;text-align:left;z-index:251704832" from="306pt,4.3pt" to="342pt,4.3pt">
            <v:stroke endarrow="block"/>
          </v:line>
        </w:pict>
      </w:r>
      <w:r>
        <w:rPr>
          <w:noProof/>
          <w:sz w:val="20"/>
        </w:rPr>
        <w:pict>
          <v:line id="_x0000_s1164" style="position:absolute;left:0;text-align:left;flip:y;z-index:251697664" from="117pt,4.3pt" to="2in,31.3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68" style="position:absolute;left:0;text-align:left;z-index:251701760" from="117pt,15.2pt" to="2in,123.2pt">
            <v:stroke endarrow="block"/>
          </v:line>
        </w:pict>
      </w:r>
      <w:r>
        <w:rPr>
          <w:noProof/>
          <w:sz w:val="20"/>
        </w:rPr>
        <w:pict>
          <v:line id="_x0000_s1167" style="position:absolute;left:0;text-align:left;z-index:251700736" from="117pt,15.2pt" to="2in,78.2pt">
            <v:stroke endarrow="block"/>
          </v:line>
        </w:pict>
      </w:r>
      <w:r>
        <w:rPr>
          <w:noProof/>
          <w:sz w:val="20"/>
        </w:rPr>
        <w:pict>
          <v:line id="_x0000_s1166" style="position:absolute;left:0;text-align:left;z-index:251699712" from="117pt,15.2pt" to="2in,51.2pt">
            <v:stroke endarrow="block"/>
          </v:line>
        </w:pict>
      </w:r>
      <w:r>
        <w:rPr>
          <w:noProof/>
          <w:sz w:val="20"/>
        </w:rPr>
        <w:pict>
          <v:line id="_x0000_s1165" style="position:absolute;left:0;text-align:left;z-index:251698688" from="117pt,15.2pt" to="2in,15.2pt">
            <v:stroke endarrow="block"/>
          </v:line>
        </w:pict>
      </w:r>
      <w:r>
        <w:rPr>
          <w:noProof/>
          <w:sz w:val="20"/>
        </w:rPr>
        <w:pict>
          <v:shape id="_x0000_s1161" type="#_x0000_t202" style="position:absolute;left:0;text-align:left;margin-left:2in;margin-top:4.3pt;width:162pt;height:27pt;z-index:251694592">
            <v:textbox>
              <w:txbxContent>
                <w:p w:rsidR="00F45F50" w:rsidRDefault="00F45F50">
                  <w:pPr>
                    <w:jc w:val="center"/>
                  </w:pPr>
                  <w:r>
                    <w:t>Szerződések megkötése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56" type="#_x0000_t202" style="position:absolute;left:0;text-align:left;margin-left:2in;margin-top:8.1pt;width:162pt;height:27pt;z-index:251689472">
            <v:textbox>
              <w:txbxContent>
                <w:p w:rsidR="00F45F50" w:rsidRDefault="00F45F50">
                  <w:pPr>
                    <w:jc w:val="center"/>
                  </w:pPr>
                  <w:r>
                    <w:t>Kiviteli tervek elkészítése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58" type="#_x0000_t202" style="position:absolute;left:0;text-align:left;margin-left:2in;margin-top:11.9pt;width:162pt;height:27pt;z-index:251691520">
            <v:textbox inset=",0,,0">
              <w:txbxContent>
                <w:p w:rsidR="00F45F50" w:rsidRDefault="00F45F50">
                  <w:pPr>
                    <w:jc w:val="both"/>
                  </w:pPr>
                  <w:r>
                    <w:t>Végleges megvalósíthatósági tanulmány elkészítése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59" type="#_x0000_t202" style="position:absolute;left:0;text-align:left;margin-left:2in;margin-top:15.7pt;width:162pt;height:27pt;z-index:251692544">
            <v:textbox inset=",0,,0">
              <w:txbxContent>
                <w:p w:rsidR="00F45F50" w:rsidRDefault="00F45F50">
                  <w:pPr>
                    <w:jc w:val="center"/>
                  </w:pPr>
                  <w:r>
                    <w:t>Pályázat elkészítése és bead</w:t>
                  </w:r>
                  <w:r>
                    <w:t>á</w:t>
                  </w:r>
                  <w:r>
                    <w:t>sa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60" type="#_x0000_t202" style="position:absolute;left:0;text-align:left;margin-left:9pt;margin-top:8.25pt;width:441pt;height:187.1pt;z-index:251693568">
            <v:textbox>
              <w:txbxContent>
                <w:p w:rsidR="00F45F50" w:rsidRDefault="00F45F50">
                  <w:pPr>
                    <w:jc w:val="both"/>
                    <w:rPr>
                      <w:i/>
                      <w:iCs/>
                      <w:sz w:val="28"/>
                    </w:rPr>
                  </w:pPr>
                  <w:r>
                    <w:rPr>
                      <w:i/>
                      <w:iCs/>
                      <w:sz w:val="28"/>
                    </w:rPr>
                    <w:t>A projekt cég létrehozását nyilván a legnagyobb tulajdoni hányaddal re</w:t>
                  </w:r>
                  <w:r>
                    <w:rPr>
                      <w:i/>
                      <w:iCs/>
                      <w:sz w:val="28"/>
                    </w:rPr>
                    <w:t>n</w:t>
                  </w:r>
                  <w:r>
                    <w:rPr>
                      <w:i/>
                      <w:iCs/>
                      <w:sz w:val="28"/>
                    </w:rPr>
                    <w:t>delkező tula</w:t>
                  </w:r>
                  <w:r>
                    <w:rPr>
                      <w:i/>
                      <w:iCs/>
                      <w:sz w:val="28"/>
                    </w:rPr>
                    <w:t>j</w:t>
                  </w:r>
                  <w:r>
                    <w:rPr>
                      <w:i/>
                      <w:iCs/>
                      <w:sz w:val="28"/>
                    </w:rPr>
                    <w:t>donosnak kell kezdeményezni. (Igény esetén a cégünk ehhez maximális segítséget nyújt) A projekt cégnek kell a menedzsmentet kialak</w:t>
                  </w:r>
                  <w:r>
                    <w:rPr>
                      <w:i/>
                      <w:iCs/>
                      <w:sz w:val="28"/>
                    </w:rPr>
                    <w:t>í</w:t>
                  </w:r>
                  <w:r>
                    <w:rPr>
                      <w:i/>
                      <w:iCs/>
                      <w:sz w:val="28"/>
                    </w:rPr>
                    <w:t>tani. A szándéknyilatkozatok alapján a beszállítói és értékesítési szerződ</w:t>
                  </w:r>
                  <w:r>
                    <w:rPr>
                      <w:i/>
                      <w:iCs/>
                      <w:sz w:val="28"/>
                    </w:rPr>
                    <w:t>é</w:t>
                  </w:r>
                  <w:r>
                    <w:rPr>
                      <w:i/>
                      <w:iCs/>
                      <w:sz w:val="28"/>
                    </w:rPr>
                    <w:t>seket megkötni. A projekt cég megköti a tervezői és kivit</w:t>
                  </w:r>
                  <w:r>
                    <w:rPr>
                      <w:i/>
                      <w:iCs/>
                      <w:sz w:val="28"/>
                    </w:rPr>
                    <w:t>e</w:t>
                  </w:r>
                  <w:r>
                    <w:rPr>
                      <w:i/>
                      <w:iCs/>
                      <w:sz w:val="28"/>
                    </w:rPr>
                    <w:t>lezői szerződést. (A befektető által megjelölt cégekkel). A tervek elkészülte után cégünk elk</w:t>
                  </w:r>
                  <w:r>
                    <w:rPr>
                      <w:i/>
                      <w:iCs/>
                      <w:sz w:val="28"/>
                    </w:rPr>
                    <w:t>é</w:t>
                  </w:r>
                  <w:r>
                    <w:rPr>
                      <w:i/>
                      <w:iCs/>
                      <w:sz w:val="28"/>
                    </w:rPr>
                    <w:t>szíti a végleges megvalósíthatósági tanulmányt. (Annak tartalma a pályáz</w:t>
                  </w:r>
                  <w:r>
                    <w:rPr>
                      <w:i/>
                      <w:iCs/>
                      <w:sz w:val="28"/>
                    </w:rPr>
                    <w:t>a</w:t>
                  </w:r>
                  <w:r>
                    <w:rPr>
                      <w:i/>
                      <w:iCs/>
                      <w:sz w:val="28"/>
                    </w:rPr>
                    <w:t>tokban rögzített). A végleges megvalósíthatósági tanulmányt a már létező projekt cég menedzsmentje hagyja jóvá. A megvalósíthatósági tanulmányt a projekt cég menedzsmentje fogadja el. A továbbiakban cégünk elkészíti a p</w:t>
                  </w:r>
                  <w:r>
                    <w:rPr>
                      <w:i/>
                      <w:iCs/>
                      <w:sz w:val="28"/>
                    </w:rPr>
                    <w:t>á</w:t>
                  </w:r>
                  <w:r>
                    <w:rPr>
                      <w:i/>
                      <w:iCs/>
                      <w:sz w:val="28"/>
                    </w:rPr>
                    <w:t xml:space="preserve">lyázatot. 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ind w:left="1416"/>
        <w:jc w:val="both"/>
        <w:rPr>
          <w:sz w:val="28"/>
        </w:rPr>
      </w:pPr>
    </w:p>
    <w:p w:rsidR="00F45F50" w:rsidRDefault="00F45F50">
      <w:pPr>
        <w:ind w:left="1416"/>
        <w:jc w:val="both"/>
        <w:rPr>
          <w:sz w:val="28"/>
        </w:rPr>
      </w:pPr>
      <w:r>
        <w:rPr>
          <w:sz w:val="28"/>
        </w:rPr>
        <w:t>A pályázati szakasz a pályázat beadásával ér véget. Amennyiben a pályázatot nem fogadnák el a projekt cég tulajdonosai, döntenek a projekt és a projekt cég további sorsáról.</w:t>
      </w:r>
      <w:r>
        <w:rPr>
          <w:rStyle w:val="Lbjegyzet-hivatkozs"/>
          <w:sz w:val="28"/>
        </w:rPr>
        <w:footnoteReference w:id="20"/>
      </w:r>
    </w:p>
    <w:p w:rsidR="00F45F50" w:rsidRDefault="00F45F50">
      <w:pPr>
        <w:ind w:left="1416"/>
        <w:jc w:val="both"/>
        <w:rPr>
          <w:sz w:val="28"/>
        </w:rPr>
      </w:pPr>
    </w:p>
    <w:p w:rsidR="00F45F50" w:rsidRDefault="00F45F50">
      <w:pPr>
        <w:ind w:left="1416"/>
        <w:jc w:val="both"/>
        <w:rPr>
          <w:sz w:val="28"/>
        </w:rPr>
      </w:pPr>
      <w:r>
        <w:rPr>
          <w:sz w:val="28"/>
        </w:rPr>
        <w:t xml:space="preserve">2.3 </w:t>
      </w:r>
      <w:r>
        <w:rPr>
          <w:sz w:val="28"/>
          <w:u w:val="single"/>
        </w:rPr>
        <w:t>A projekt megvalósítása</w:t>
      </w:r>
      <w:r>
        <w:rPr>
          <w:sz w:val="28"/>
        </w:rPr>
        <w:t xml:space="preserve"> A támogatási szerződés megkötésével a projekt tényleges megvalósítása megkezdődhet. Ezzel egy időben az előkészítés költségei el is számolhatók. A megvalósítási szakasz az alábbi elemeket tartalmazza:</w: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rect id="_x0000_s1198" style="position:absolute;left:0;text-align:left;margin-left:9pt;margin-top:12.3pt;width:450pt;height:380.9pt;z-index:251732480" filled="f" strokecolor="red" strokeweight="2.25pt"/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85" type="#_x0000_t202" style="position:absolute;left:0;text-align:left;margin-left:171pt;margin-top:9pt;width:126pt;height:27pt;z-index:251719168">
            <v:textbox>
              <w:txbxContent>
                <w:p w:rsidR="00F45F50" w:rsidRDefault="00F45F50">
                  <w:pPr>
                    <w:jc w:val="center"/>
                  </w:pPr>
                  <w:r>
                    <w:t>Eszközök beszerzése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92" style="position:absolute;left:0;text-align:left;z-index:251726336" from="297pt,10.9pt" to="324pt,82.9pt">
            <v:stroke endarrow="block"/>
          </v:line>
        </w:pict>
      </w:r>
      <w:r>
        <w:rPr>
          <w:noProof/>
          <w:sz w:val="20"/>
        </w:rPr>
        <w:pict>
          <v:line id="_x0000_s1186" style="position:absolute;left:0;text-align:left;flip:y;z-index:251720192" from="135pt,1.9pt" to="171pt,82.9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78" type="#_x0000_t202" style="position:absolute;left:0;text-align:left;margin-left:171pt;margin-top:12.8pt;width:126pt;height:27pt;z-index:251712000">
            <v:textbox>
              <w:txbxContent>
                <w:p w:rsidR="00F45F50" w:rsidRDefault="00F45F50">
                  <w:pPr>
                    <w:jc w:val="center"/>
                  </w:pPr>
                  <w:r>
                    <w:t>Építés szerelés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93" style="position:absolute;left:0;text-align:left;z-index:251727360" from="297pt,5.7pt" to="324pt,50.7pt">
            <v:stroke endarrow="block"/>
          </v:line>
        </w:pict>
      </w:r>
      <w:r>
        <w:rPr>
          <w:noProof/>
          <w:sz w:val="20"/>
        </w:rPr>
        <w:pict>
          <v:line id="_x0000_s1187" style="position:absolute;left:0;text-align:left;flip:y;z-index:251721216" from="135pt,14.7pt" to="171pt,50.7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94" style="position:absolute;left:0;text-align:left;z-index:251728384" from="297pt,9.5pt" to="324pt,18.5pt">
            <v:stroke endarrow="block"/>
          </v:line>
        </w:pict>
      </w:r>
      <w:r>
        <w:rPr>
          <w:noProof/>
          <w:sz w:val="20"/>
        </w:rPr>
        <w:pict>
          <v:shape id="_x0000_s1184" type="#_x0000_t202" style="position:absolute;left:0;text-align:left;margin-left:18pt;margin-top:.5pt;width:117pt;height:36pt;z-index:251718144">
            <v:textbox>
              <w:txbxContent>
                <w:p w:rsidR="00F45F50" w:rsidRDefault="00F45F50">
                  <w:pPr>
                    <w:jc w:val="center"/>
                    <w:rPr>
                      <w:b/>
                      <w:bCs/>
                      <w:color w:val="FF0000"/>
                      <w:sz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</w:rPr>
                    <w:t>Megvalósítási szakasz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7" type="#_x0000_t202" style="position:absolute;left:0;text-align:left;margin-left:324pt;margin-top:.5pt;width:126pt;height:36pt;z-index:251710976" fillcolor="yellow">
            <v:textbox>
              <w:txbxContent>
                <w:p w:rsidR="00F45F50" w:rsidRDefault="00F45F5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 beruházás me</w:t>
                  </w:r>
                  <w:r>
                    <w:rPr>
                      <w:sz w:val="28"/>
                    </w:rPr>
                    <w:t>g</w:t>
                  </w:r>
                  <w:r>
                    <w:rPr>
                      <w:sz w:val="28"/>
                    </w:rPr>
                    <w:t>valósult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1" type="#_x0000_t202" style="position:absolute;left:0;text-align:left;margin-left:171pt;margin-top:.5pt;width:126pt;height:27pt;z-index:251715072">
            <v:textbox>
              <w:txbxContent>
                <w:p w:rsidR="00F45F50" w:rsidRDefault="00F45F50">
                  <w:pPr>
                    <w:jc w:val="center"/>
                  </w:pPr>
                  <w:r>
                    <w:t>Betanítás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line id="_x0000_s1197" style="position:absolute;left:0;text-align:left;flip:y;z-index:251731456" from="297pt,2.4pt" to="324pt,101.4pt">
            <v:stroke endarrow="block"/>
          </v:line>
        </w:pict>
      </w:r>
      <w:r>
        <w:rPr>
          <w:noProof/>
          <w:sz w:val="20"/>
        </w:rPr>
        <w:pict>
          <v:line id="_x0000_s1196" style="position:absolute;left:0;text-align:left;flip:y;z-index:251730432" from="297pt,2.4pt" to="324pt,65.4pt">
            <v:stroke endarrow="block"/>
          </v:line>
        </w:pict>
      </w:r>
      <w:r>
        <w:rPr>
          <w:noProof/>
          <w:sz w:val="20"/>
        </w:rPr>
        <w:pict>
          <v:line id="_x0000_s1195" style="position:absolute;left:0;text-align:left;flip:y;z-index:251729408" from="297pt,2.4pt" to="324pt,29.4pt">
            <v:stroke endarrow="block"/>
          </v:line>
        </w:pict>
      </w:r>
      <w:r>
        <w:rPr>
          <w:noProof/>
          <w:sz w:val="20"/>
        </w:rPr>
        <w:pict>
          <v:line id="_x0000_s1191" style="position:absolute;left:0;text-align:left;z-index:251725312" from="135pt,2.4pt" to="171pt,110.4pt">
            <v:stroke endarrow="block"/>
          </v:line>
        </w:pict>
      </w:r>
      <w:r>
        <w:rPr>
          <w:noProof/>
          <w:sz w:val="20"/>
        </w:rPr>
        <w:pict>
          <v:line id="_x0000_s1190" style="position:absolute;left:0;text-align:left;z-index:251724288" from="135pt,2.4pt" to="171pt,65.4pt">
            <v:stroke endarrow="block"/>
          </v:line>
        </w:pict>
      </w:r>
      <w:r>
        <w:rPr>
          <w:noProof/>
          <w:sz w:val="20"/>
        </w:rPr>
        <w:pict>
          <v:line id="_x0000_s1189" style="position:absolute;left:0;text-align:left;z-index:251723264" from="135pt,2.4pt" to="171pt,38.4pt">
            <v:stroke endarrow="block"/>
          </v:line>
        </w:pict>
      </w:r>
      <w:r>
        <w:rPr>
          <w:noProof/>
          <w:sz w:val="20"/>
        </w:rPr>
        <w:pict>
          <v:line id="_x0000_s1188" style="position:absolute;left:0;text-align:left;z-index:251722240" from="135pt,2.4pt" to="171pt,2.4pt">
            <v:stroke endarrow="block"/>
          </v:line>
        </w:pict>
      </w: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79" type="#_x0000_t202" style="position:absolute;left:0;text-align:left;margin-left:171pt;margin-top:4.3pt;width:126pt;height:27pt;z-index:251713024">
            <v:textbox>
              <w:txbxContent>
                <w:p w:rsidR="00F45F50" w:rsidRDefault="00F45F50">
                  <w:pPr>
                    <w:jc w:val="center"/>
                  </w:pPr>
                  <w:r>
                    <w:t>Próbaüzem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80" type="#_x0000_t202" style="position:absolute;left:0;text-align:left;margin-left:171pt;margin-top:8.1pt;width:126pt;height:27pt;z-index:251714048">
            <v:textbox inset=",0,,0">
              <w:txbxContent>
                <w:p w:rsidR="00F45F50" w:rsidRDefault="00F45F50">
                  <w:pPr>
                    <w:jc w:val="center"/>
                  </w:pPr>
                  <w:r>
                    <w:t>Támogatás elszámol</w:t>
                  </w:r>
                  <w:r>
                    <w:t>á</w:t>
                  </w:r>
                  <w:r>
                    <w:t>sa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82" type="#_x0000_t202" style="position:absolute;left:0;text-align:left;margin-left:171pt;margin-top:11.9pt;width:126pt;height:27pt;z-index:251716096">
            <v:textbox>
              <w:txbxContent>
                <w:p w:rsidR="00F45F50" w:rsidRDefault="00F45F50">
                  <w:pPr>
                    <w:jc w:val="center"/>
                  </w:pPr>
                  <w:r>
                    <w:t>Közzététel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  <w:r>
        <w:rPr>
          <w:noProof/>
          <w:sz w:val="20"/>
        </w:rPr>
        <w:pict>
          <v:shape id="_x0000_s1183" type="#_x0000_t202" style="position:absolute;left:0;text-align:left;margin-left:36pt;margin-top:8.6pt;width:405pt;height:92.95pt;z-index:251717120">
            <v:textbox>
              <w:txbxContent>
                <w:p w:rsidR="00F45F50" w:rsidRDefault="00F45F50">
                  <w:pPr>
                    <w:jc w:val="both"/>
                    <w:rPr>
                      <w:i/>
                      <w:iCs/>
                      <w:sz w:val="28"/>
                    </w:rPr>
                  </w:pPr>
                  <w:r>
                    <w:rPr>
                      <w:i/>
                      <w:iCs/>
                      <w:sz w:val="28"/>
                    </w:rPr>
                    <w:t>Az eszközök (kazánok és egyéb berendezések) beszerzési forrására vonatkozóan cégünk javaslatot ad a Megvalósíthatósági tanulmán</w:t>
                  </w:r>
                  <w:r>
                    <w:rPr>
                      <w:i/>
                      <w:iCs/>
                      <w:sz w:val="28"/>
                    </w:rPr>
                    <w:t>y</w:t>
                  </w:r>
                  <w:r>
                    <w:rPr>
                      <w:i/>
                      <w:iCs/>
                      <w:sz w:val="28"/>
                    </w:rPr>
                    <w:t>ban. A projekt dolgozóinak betanításához és a próbaüzem lebonyol</w:t>
                  </w:r>
                  <w:r>
                    <w:rPr>
                      <w:i/>
                      <w:iCs/>
                      <w:sz w:val="28"/>
                    </w:rPr>
                    <w:t>í</w:t>
                  </w:r>
                  <w:r>
                    <w:rPr>
                      <w:i/>
                      <w:iCs/>
                      <w:sz w:val="28"/>
                    </w:rPr>
                    <w:t>tásához megfelelő személyeket biztosítunk. A támogatás elszám</w:t>
                  </w:r>
                  <w:r>
                    <w:rPr>
                      <w:i/>
                      <w:iCs/>
                      <w:sz w:val="28"/>
                    </w:rPr>
                    <w:t>o</w:t>
                  </w:r>
                  <w:r>
                    <w:rPr>
                      <w:i/>
                      <w:iCs/>
                      <w:sz w:val="28"/>
                    </w:rPr>
                    <w:t>lása a projekt cég feladata. A közzétételt cégünk vállalja</w:t>
                  </w:r>
                </w:p>
              </w:txbxContent>
            </v:textbox>
          </v:shape>
        </w:pic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pStyle w:val="Szvegtrzsbehzssal2"/>
      </w:pPr>
      <w:r>
        <w:t>Az eredményes próbaüzemmel a beruházás technikailag befejez</w:t>
      </w:r>
      <w:r>
        <w:t>ő</w:t>
      </w:r>
      <w:r>
        <w:t>dik. A pénzügyi befejezést a támogatás elszámolása jelenti. A t</w:t>
      </w:r>
      <w:r>
        <w:t>á</w:t>
      </w:r>
      <w:r>
        <w:t>mogatás elszámolásának számos pénzügyi előírása van, amelyet a támogatási szerződésben írtak elő. Az e feltételek betartása a pr</w:t>
      </w:r>
      <w:r>
        <w:t>o</w:t>
      </w:r>
      <w:r>
        <w:t>jekt cég feladata.</w:t>
      </w:r>
    </w:p>
    <w:p w:rsidR="00F45F50" w:rsidRDefault="00F45F50">
      <w:pPr>
        <w:pStyle w:val="Szvegtrzsbehzssal2"/>
      </w:pPr>
    </w:p>
    <w:p w:rsidR="00F45F50" w:rsidRDefault="00F45F50">
      <w:pPr>
        <w:ind w:left="708"/>
        <w:jc w:val="both"/>
        <w:rPr>
          <w:sz w:val="28"/>
        </w:rPr>
      </w:pPr>
      <w:r>
        <w:rPr>
          <w:b/>
          <w:bCs/>
          <w:sz w:val="28"/>
          <w:u w:val="single"/>
        </w:rPr>
        <w:t>3. Üzemeltetés:</w:t>
      </w:r>
      <w:r>
        <w:rPr>
          <w:sz w:val="28"/>
        </w:rPr>
        <w:t xml:space="preserve"> Az üzem beindulása után cégünk biztosít a hőellátás szükségletét meghaladó – tervezhető mennyiségű, a rendszer által megh</w:t>
      </w:r>
      <w:r>
        <w:rPr>
          <w:sz w:val="28"/>
        </w:rPr>
        <w:t>a</w:t>
      </w:r>
      <w:r>
        <w:rPr>
          <w:sz w:val="28"/>
        </w:rPr>
        <w:t>tározott minőségű és szortimentumú - tüzelőanyag megvásárlására, 5 évre szerződét kötni hajlandó szervezetet. Továbbá ebben az időszakban a rendszer működésében bekövetkező esetleges zavarok elhárításában (szerviz, technikai hibaelhárítás) közreműködünk, a keretszerződésben meghatározott rendszerhasználati díj ellenértékeként.</w:t>
      </w: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rFonts w:eastAsia="Arial Unicode MS"/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</w:pPr>
    </w:p>
    <w:p w:rsidR="00F45F50" w:rsidRDefault="00F45F50">
      <w:pPr>
        <w:jc w:val="both"/>
        <w:rPr>
          <w:sz w:val="28"/>
        </w:rPr>
        <w:sectPr w:rsidR="00F45F50">
          <w:headerReference w:type="even" r:id="rId15"/>
          <w:head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5F50" w:rsidRDefault="00F45F50">
      <w:pPr>
        <w:pStyle w:val="Cmsor8"/>
        <w:rPr>
          <w:sz w:val="28"/>
        </w:rPr>
      </w:pPr>
      <w:r>
        <w:t>Függelék</w:t>
      </w:r>
    </w:p>
    <w:p w:rsidR="00F45F50" w:rsidRDefault="00F45F50">
      <w:pPr>
        <w:jc w:val="both"/>
        <w:rPr>
          <w:sz w:val="28"/>
        </w:rPr>
      </w:pPr>
      <w:r>
        <w:rPr>
          <w:sz w:val="28"/>
        </w:rPr>
        <w:t>A reálisan begyűjthető biomasszát helységsorosan számoltuk. E táblázatban csak az erdőterületet és a mezőgazdaságilag hasznosított területből a kukorica, búza, repce és szója területet vettük figyelembe. Az elvihető mennyiséget az erdőterüle</w:t>
      </w:r>
      <w:r>
        <w:rPr>
          <w:sz w:val="28"/>
        </w:rPr>
        <w:t>t</w:t>
      </w:r>
      <w:r>
        <w:rPr>
          <w:sz w:val="28"/>
        </w:rPr>
        <w:t>nél 1,2 t/ha  a mezőgazdasági területnél 2 t/ha ban határoztuk meg. Reálisan begyűjthetőnek vettük az így számolt menny</w:t>
      </w:r>
      <w:r>
        <w:rPr>
          <w:sz w:val="28"/>
        </w:rPr>
        <w:t>i</w:t>
      </w:r>
      <w:r>
        <w:rPr>
          <w:sz w:val="28"/>
        </w:rPr>
        <w:t>ség 40 %-át.</w:t>
      </w:r>
    </w:p>
    <w:tbl>
      <w:tblPr>
        <w:tblW w:w="11820" w:type="dxa"/>
        <w:tblInd w:w="1121" w:type="dxa"/>
        <w:tblCellMar>
          <w:left w:w="0" w:type="dxa"/>
          <w:right w:w="0" w:type="dxa"/>
        </w:tblCellMar>
        <w:tblLook w:val="0000"/>
      </w:tblPr>
      <w:tblGrid>
        <w:gridCol w:w="1788"/>
        <w:gridCol w:w="1000"/>
        <w:gridCol w:w="976"/>
        <w:gridCol w:w="975"/>
        <w:gridCol w:w="975"/>
        <w:gridCol w:w="976"/>
        <w:gridCol w:w="1057"/>
        <w:gridCol w:w="973"/>
        <w:gridCol w:w="1057"/>
        <w:gridCol w:w="975"/>
        <w:gridCol w:w="1068"/>
      </w:tblGrid>
      <w:tr w:rsidR="00F45F50">
        <w:trPr>
          <w:trHeight w:val="555"/>
        </w:trPr>
        <w:tc>
          <w:tcPr>
            <w:tcW w:w="11820" w:type="dxa"/>
            <w:gridSpan w:val="11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CFFCC"/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Azon helységek csoportosítása a lakosság száma alapján,ahol a reálisan begyűjthető tüzelhető biomassza mennyisége meghaladja a közintézmények fűtéséhez szükséges mennyiséget</w:t>
            </w:r>
          </w:p>
        </w:tc>
      </w:tr>
      <w:tr w:rsidR="00F45F50">
        <w:trPr>
          <w:cantSplit/>
          <w:trHeight w:val="933"/>
        </w:trPr>
        <w:tc>
          <w:tcPr>
            <w:tcW w:w="1788" w:type="dxa"/>
            <w:vMerge w:val="restart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Helység csoportok a lakosság száma sz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rint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 helységek darab száma</w:t>
            </w:r>
          </w:p>
        </w:tc>
        <w:tc>
          <w:tcPr>
            <w:tcW w:w="9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Lakosság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Erdészeti hulladék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Szalma kszár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Összes tüzelhető 40 %-a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Begyűjt hető bimassza fűtő értéke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Intéz ményi fűtés hő szükség lete.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Hő mennyi ség eltérés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Intéz ményi fűtés szü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séglete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double" w:sz="6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Bio massza felesleg</w:t>
            </w:r>
          </w:p>
        </w:tc>
      </w:tr>
      <w:tr w:rsidR="00F45F50">
        <w:trPr>
          <w:cantSplit/>
          <w:trHeight w:val="285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fő</w:t>
            </w:r>
          </w:p>
        </w:tc>
        <w:tc>
          <w:tcPr>
            <w:tcW w:w="2926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 o n n a</w:t>
            </w:r>
          </w:p>
        </w:tc>
        <w:tc>
          <w:tcPr>
            <w:tcW w:w="3087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 i g a j o u l e</w:t>
            </w:r>
          </w:p>
        </w:tc>
        <w:tc>
          <w:tcPr>
            <w:tcW w:w="2043" w:type="dxa"/>
            <w:gridSpan w:val="2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 o n n a</w:t>
            </w:r>
          </w:p>
        </w:tc>
      </w:tr>
      <w:tr w:rsidR="00F45F5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&gt; 10 000 fő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1 262 475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926 628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437 090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6 119 365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2 272 455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3 846 900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162 318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274 772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5 001- 10 000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791 099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134 513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791 302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370 324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5 184 557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1 423 976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3 760 581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101 713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268 611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3 001 - 5 000 fő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728 366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220 664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780 740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400 560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5 607 860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1 311 057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4 296 788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93 647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306 913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1 001- 3 000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1 610 065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753 289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2 250 540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1 201 539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16 821 437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2 898 116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13 923 321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207 008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994 531</w:t>
            </w:r>
          </w:p>
        </w:tc>
      </w:tr>
      <w:tr w:rsidR="00F45F5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501 - 1 000 fő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493 935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408 609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982 422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556 421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7 789 698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889 087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6 900 627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63 506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492 915</w:t>
            </w:r>
          </w:p>
        </w:tc>
      </w:tr>
      <w:tr w:rsidR="00F45F50">
        <w:trPr>
          <w:trHeight w:val="270"/>
        </w:trPr>
        <w:tc>
          <w:tcPr>
            <w:tcW w:w="1788" w:type="dxa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500 fő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278 559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408 536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734 462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457 193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6 400 822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501 414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5 899 413</w:t>
            </w:r>
          </w:p>
        </w:tc>
        <w:tc>
          <w:tcPr>
            <w:tcW w:w="975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99"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35 815</w:t>
            </w:r>
          </w:p>
        </w:tc>
        <w:tc>
          <w:tcPr>
            <w:tcW w:w="1068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421 378</w:t>
            </w:r>
          </w:p>
        </w:tc>
      </w:tr>
      <w:tr w:rsidR="00F45F5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Összesen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2 987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5 164 499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2 091 727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6 466 094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3 423 127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47 923 739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9 296 105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38 627 630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664 008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2 759 120</w:t>
            </w:r>
          </w:p>
        </w:tc>
      </w:tr>
      <w:tr w:rsidR="00F45F50">
        <w:trPr>
          <w:trHeight w:val="285"/>
        </w:trPr>
        <w:tc>
          <w:tcPr>
            <w:tcW w:w="0" w:type="auto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auto"/>
              <w:right w:val="nil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Átlag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1 729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2 165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1 146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16 044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3 112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12 932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924</w:t>
            </w:r>
          </w:p>
        </w:tc>
      </w:tr>
      <w:tr w:rsidR="00F45F50">
        <w:trPr>
          <w:trHeight w:val="495"/>
        </w:trPr>
        <w:tc>
          <w:tcPr>
            <w:tcW w:w="1182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CCFFCC"/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Azon helységek csoportosítása a lakosság száma alapján,ahol a reálisan begyűjthető tüzelhető biomassza mennyisége meghaladja a közintézmények fűtéséhez szükséges mennyiséget</w:t>
            </w:r>
          </w:p>
        </w:tc>
      </w:tr>
      <w:tr w:rsidR="00F45F50">
        <w:trPr>
          <w:cantSplit/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&gt;50 000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1 948 613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78 727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175 650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101 751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1 424 508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3 507 502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-2 082 995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-148 785</w:t>
            </w:r>
          </w:p>
        </w:tc>
        <w:tc>
          <w:tcPr>
            <w:tcW w:w="1068" w:type="dxa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Nettó biomassza felesleg </w:t>
            </w:r>
          </w:p>
        </w:tc>
      </w:tr>
      <w:tr w:rsidR="00F45F50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10 001 - 50 000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1 055 381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67 170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113 948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72 448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1 014 254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1 899 685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-885 431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-63 245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5F50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5 001 - 10 000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160 421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22 448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166 582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288 757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-122 180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-8 727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5F50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3 001 - 5 000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70 254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6 548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57 162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126 457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-69 295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-4 950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5F50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1 001 - 3 000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38 138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4 028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43 446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68 650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-25 203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-1 800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5F50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501 - 1 000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-3 601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-257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5F50">
        <w:trPr>
          <w:cantSplit/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&lt;=500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5F50">
        <w:trPr>
          <w:trHeight w:val="28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Összesen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3 276 527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161 057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323 140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193 734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2 708 597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5 897 520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-3 188 645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99"/>
            <w:noWrap/>
            <w:vAlign w:val="bottom"/>
          </w:tcPr>
          <w:p w:rsidR="00F45F50" w:rsidRDefault="00F45F50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-227 760</w:t>
            </w:r>
          </w:p>
        </w:tc>
        <w:tc>
          <w:tcPr>
            <w:tcW w:w="10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F45F50" w:rsidRDefault="00F45F50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2 531 359</w:t>
            </w:r>
          </w:p>
        </w:tc>
      </w:tr>
    </w:tbl>
    <w:p w:rsidR="00F45F50" w:rsidRDefault="00F45F50">
      <w:pPr>
        <w:jc w:val="both"/>
      </w:pPr>
    </w:p>
    <w:sectPr w:rsidR="00F45F5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A28" w:rsidRDefault="003E0A28">
      <w:r>
        <w:separator/>
      </w:r>
    </w:p>
  </w:endnote>
  <w:endnote w:type="continuationSeparator" w:id="0">
    <w:p w:rsidR="003E0A28" w:rsidRDefault="003E0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A28" w:rsidRDefault="003E0A28">
      <w:r>
        <w:separator/>
      </w:r>
    </w:p>
  </w:footnote>
  <w:footnote w:type="continuationSeparator" w:id="0">
    <w:p w:rsidR="003E0A28" w:rsidRDefault="003E0A28">
      <w:r>
        <w:continuationSeparator/>
      </w:r>
    </w:p>
  </w:footnote>
  <w:footnote w:id="1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Helységsoros felmérés alapján</w:t>
      </w:r>
    </w:p>
  </w:footnote>
  <w:footnote w:id="2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Mind a termelődő melléktermék mennyiségének meghatározásánál, mind a begyűjthető részarány megállapít</w:t>
      </w:r>
      <w:r>
        <w:t>á</w:t>
      </w:r>
      <w:r>
        <w:t>sánál szándékosan alacsony értékeket vettünk számításba</w:t>
      </w:r>
    </w:p>
  </w:footnote>
  <w:footnote w:id="3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A mezőgazdasági nagyüzemekben rendelkezésre állnak a melléktermék begyűjtésének eszközei</w:t>
      </w:r>
    </w:p>
  </w:footnote>
  <w:footnote w:id="4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Csak a jelenleg nem meglévő a nem használt területekre új telepítés</w:t>
      </w:r>
    </w:p>
  </w:footnote>
  <w:footnote w:id="5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Ezek többségben a legnagyobb városok, illetve üdülőterületek</w:t>
      </w:r>
    </w:p>
  </w:footnote>
  <w:footnote w:id="6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Saját tüzelő feldolgozás esetén</w:t>
      </w:r>
    </w:p>
  </w:footnote>
  <w:footnote w:id="7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Erre alkalmas automata adagolású kazánokat gyárt hazánkban a BIOLÁNG Kft. Maximum 5 MW teljesítm</w:t>
      </w:r>
      <w:r>
        <w:t>é</w:t>
      </w:r>
      <w:r>
        <w:t>nyig. Az eddig sze</w:t>
      </w:r>
      <w:r>
        <w:t>r</w:t>
      </w:r>
      <w:r>
        <w:t>zett tapasztalatok kedvezőek, árban versenyképes, szervizelése biztosított. Távfelügyeletet is vállal</w:t>
      </w:r>
    </w:p>
  </w:footnote>
  <w:footnote w:id="8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A BIOLÁNG kft apríték tüzelésre alkalmas kazánokat is gyárt. Kazánjaiban az apríték 30% nedvességtartalom alatt jól égethető. </w:t>
      </w:r>
    </w:p>
  </w:footnote>
  <w:footnote w:id="9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Ezek a kazánok az emissziót illetően bevizsgáltak. Árfekvésük jó. Szerviz ellátásuk biztosított és az eddigiek alapján a tapasztalatok kedvezőek</w:t>
      </w:r>
    </w:p>
  </w:footnote>
  <w:footnote w:id="10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Megjegyzendő, hogy az országos szemléletben sincs ez a kérdés a helyén. A biomassza felhasználást illetően a Nemzeti Cselekvési Terv tervezetében az elektromos áram nagyerőműi előállítása élvez prioritást, noha itt az energetikai hatásfok a 30%- ot sem éri el. A nagytömegű mezőgazdasági melléktermékkel nem is számol.</w:t>
      </w:r>
    </w:p>
  </w:footnote>
  <w:footnote w:id="11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Nyugat Európában a gáz ára lényegesen magasabb. A pelletek szabványosítva vannak, a termékpálya kial</w:t>
      </w:r>
      <w:r>
        <w:t>a</w:t>
      </w:r>
      <w:r>
        <w:t>kult. A pelletek piaci ára is magasabb, de így is sokkal nagyobb az eltérés az 1 Mj ra vetített költségben ha azt gázzal vagy pellettel állítják elő. (Hozzánk viszonyitva 1,4 – 2,3 szoros)</w:t>
      </w:r>
    </w:p>
  </w:footnote>
  <w:footnote w:id="12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A földgáz ÁFÁJA 25% Ha a hőt olyan cégtől veszi az Önkormányzat amely azt megújuló energiából állítja elő akkor ennek ÁFÁJA 5 %. Az Önkormányzatok ÁFA visszaigénylésére nem jogosultak.</w:t>
      </w:r>
    </w:p>
  </w:footnote>
  <w:footnote w:id="13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Nem kell közbeszerzési eljárás</w:t>
      </w:r>
    </w:p>
  </w:footnote>
  <w:footnote w:id="14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Elképzelhető a két rendszer  kombinációja is</w:t>
      </w:r>
    </w:p>
  </w:footnote>
  <w:footnote w:id="15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Mivel a rendszer elsődlegesen a kis települések hő ellátására irányul a pelletgyártás általában része lesz a renszernek</w:t>
      </w:r>
    </w:p>
  </w:footnote>
  <w:footnote w:id="16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Részletes leírás a mellékletben</w:t>
      </w:r>
    </w:p>
  </w:footnote>
  <w:footnote w:id="17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Az alapanyag minőségi kritériumai a beszállítói szerződésekben kerülnek rögzítésre</w:t>
      </w:r>
    </w:p>
  </w:footnote>
  <w:footnote w:id="18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Amennyiben az önkormányzat a létesítményeket, illetve a telket nem viszi be a projekt cégbe, úgy a létesítm</w:t>
      </w:r>
      <w:r>
        <w:t>é</w:t>
      </w:r>
      <w:r>
        <w:t>nyek használatára vonatkozóan a projekt céggel használati, illetve bérleti szerződést köt.</w:t>
      </w:r>
    </w:p>
  </w:footnote>
  <w:footnote w:id="19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Ekkor még nem jött létre a projekt cég ezért a résztvevőknek nincs kivel előszerződést sem kötni. A leírt ta</w:t>
      </w:r>
      <w:r>
        <w:t>r</w:t>
      </w:r>
      <w:r>
        <w:t>talmú szándéknyilatkozatok, azonban biztosítják a projekt megvalósíthatóságát</w:t>
      </w:r>
    </w:p>
  </w:footnote>
  <w:footnote w:id="20">
    <w:p w:rsidR="00F45F50" w:rsidRDefault="00F45F50">
      <w:pPr>
        <w:pStyle w:val="Lbjegyzetszveg"/>
      </w:pPr>
      <w:r>
        <w:rPr>
          <w:rStyle w:val="Lbjegyzet-hivatkozs"/>
        </w:rPr>
        <w:footnoteRef/>
      </w:r>
      <w:r>
        <w:t xml:space="preserve"> Ezt az esetet a keretszerződésben kell szabályozni. Mi ugyanis vállaljuk, hogy tartalmilag megfelelő projekt céget javaslunk létrehozni, és a tanulmányt, valamint a pályázati anyagot a kívánt tartalommal és formában k</w:t>
      </w:r>
      <w:r>
        <w:t>é</w:t>
      </w:r>
      <w:r>
        <w:t>szítjük el. Ha hiányt kell pótolni azt is vállaljuk. Meghiúsulhat a projekt azon, hogy valamilyen engedély me</w:t>
      </w:r>
      <w:r>
        <w:t>g</w:t>
      </w:r>
      <w:r>
        <w:t>szerezhetetlen, vagy a szükséges forrás nem áll rendelkezésre.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F50" w:rsidRDefault="00F45F50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45F50" w:rsidRDefault="00F45F50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F50" w:rsidRDefault="00F45F50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E0A28">
      <w:rPr>
        <w:rStyle w:val="Oldalszm"/>
        <w:noProof/>
      </w:rPr>
      <w:t>1</w:t>
    </w:r>
    <w:r>
      <w:rPr>
        <w:rStyle w:val="Oldalszm"/>
      </w:rPr>
      <w:fldChar w:fldCharType="end"/>
    </w:r>
  </w:p>
  <w:p w:rsidR="00F45F50" w:rsidRDefault="00F45F50">
    <w:pPr>
      <w:pStyle w:val="lfej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D4060"/>
    <w:multiLevelType w:val="multilevel"/>
    <w:tmpl w:val="D396E3B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">
    <w:nsid w:val="220F42DF"/>
    <w:multiLevelType w:val="hybridMultilevel"/>
    <w:tmpl w:val="2CAA014A"/>
    <w:lvl w:ilvl="0" w:tplc="B62C628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/>
      </w:rPr>
    </w:lvl>
    <w:lvl w:ilvl="1" w:tplc="0004FD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BCE4E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3C5C86"/>
    <w:multiLevelType w:val="multilevel"/>
    <w:tmpl w:val="E2E89450"/>
    <w:lvl w:ilvl="0">
      <w:start w:val="1"/>
      <w:numFmt w:val="decimal"/>
      <w:pStyle w:val="Cmsor7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">
    <w:nsid w:val="328019AB"/>
    <w:multiLevelType w:val="hybridMultilevel"/>
    <w:tmpl w:val="C6C88264"/>
    <w:lvl w:ilvl="0" w:tplc="83EA1BD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C42436"/>
    <w:multiLevelType w:val="multilevel"/>
    <w:tmpl w:val="AA4C96E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0"/>
        </w:tabs>
        <w:ind w:left="19440" w:hanging="2160"/>
      </w:pPr>
      <w:rPr>
        <w:rFonts w:hint="default"/>
      </w:rPr>
    </w:lvl>
  </w:abstractNum>
  <w:abstractNum w:abstractNumId="5">
    <w:nsid w:val="4EB41425"/>
    <w:multiLevelType w:val="hybridMultilevel"/>
    <w:tmpl w:val="1EC49F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14FA9"/>
    <w:rsid w:val="003E0A28"/>
    <w:rsid w:val="00622F17"/>
    <w:rsid w:val="00914FA9"/>
    <w:rsid w:val="00C24E61"/>
    <w:rsid w:val="00C61EAA"/>
    <w:rsid w:val="00F2494E"/>
    <w:rsid w:val="00F45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jc w:val="both"/>
      <w:outlineLvl w:val="0"/>
    </w:pPr>
    <w:rPr>
      <w:sz w:val="28"/>
      <w:u w:val="double"/>
    </w:rPr>
  </w:style>
  <w:style w:type="paragraph" w:styleId="Cmsor2">
    <w:name w:val="heading 2"/>
    <w:basedOn w:val="Norml"/>
    <w:next w:val="Norml"/>
    <w:qFormat/>
    <w:pPr>
      <w:keepNext/>
      <w:jc w:val="both"/>
      <w:outlineLvl w:val="1"/>
    </w:pPr>
    <w:rPr>
      <w:b/>
      <w:bCs/>
      <w:i/>
      <w:iCs/>
      <w:color w:val="0000FF"/>
      <w:sz w:val="28"/>
    </w:rPr>
  </w:style>
  <w:style w:type="paragraph" w:styleId="Cmsor3">
    <w:name w:val="heading 3"/>
    <w:basedOn w:val="Norml"/>
    <w:next w:val="Norml"/>
    <w:qFormat/>
    <w:pPr>
      <w:keepNext/>
      <w:jc w:val="both"/>
      <w:outlineLvl w:val="2"/>
    </w:pPr>
    <w:rPr>
      <w:b/>
      <w:bCs/>
      <w:i/>
      <w:iCs/>
      <w:color w:val="0000FF"/>
      <w:sz w:val="28"/>
      <w:u w:val="double"/>
    </w:rPr>
  </w:style>
  <w:style w:type="paragraph" w:styleId="Cmsor4">
    <w:name w:val="heading 4"/>
    <w:basedOn w:val="Norml"/>
    <w:next w:val="Norml"/>
    <w:qFormat/>
    <w:pPr>
      <w:keepNext/>
      <w:ind w:left="360"/>
      <w:jc w:val="both"/>
      <w:outlineLvl w:val="3"/>
    </w:pPr>
    <w:rPr>
      <w:b/>
      <w:bCs/>
      <w:i/>
      <w:iCs/>
      <w:color w:val="0000FF"/>
      <w:sz w:val="28"/>
      <w:u w:val="double"/>
    </w:rPr>
  </w:style>
  <w:style w:type="paragraph" w:styleId="Cmsor5">
    <w:name w:val="heading 5"/>
    <w:basedOn w:val="Norml"/>
    <w:next w:val="Norml"/>
    <w:qFormat/>
    <w:pPr>
      <w:keepNext/>
      <w:jc w:val="both"/>
      <w:outlineLvl w:val="4"/>
    </w:pPr>
    <w:rPr>
      <w:b/>
      <w:bCs/>
      <w:i/>
      <w:iCs/>
      <w:color w:val="0000FF"/>
      <w:sz w:val="28"/>
      <w:u w:val="single"/>
    </w:rPr>
  </w:style>
  <w:style w:type="paragraph" w:styleId="Cmsor6">
    <w:name w:val="heading 6"/>
    <w:basedOn w:val="Norml"/>
    <w:next w:val="Norml"/>
    <w:qFormat/>
    <w:pPr>
      <w:keepNext/>
      <w:jc w:val="both"/>
      <w:outlineLvl w:val="5"/>
    </w:pPr>
    <w:rPr>
      <w:sz w:val="28"/>
    </w:rPr>
  </w:style>
  <w:style w:type="paragraph" w:styleId="Cmsor7">
    <w:name w:val="heading 7"/>
    <w:basedOn w:val="Norml"/>
    <w:next w:val="Norml"/>
    <w:qFormat/>
    <w:pPr>
      <w:keepNext/>
      <w:numPr>
        <w:numId w:val="5"/>
      </w:numPr>
      <w:jc w:val="both"/>
      <w:outlineLvl w:val="6"/>
    </w:pPr>
    <w:rPr>
      <w:sz w:val="28"/>
      <w:u w:val="single"/>
    </w:rPr>
  </w:style>
  <w:style w:type="paragraph" w:styleId="Cmsor8">
    <w:name w:val="heading 8"/>
    <w:basedOn w:val="Norml"/>
    <w:next w:val="Norml"/>
    <w:qFormat/>
    <w:pPr>
      <w:keepNext/>
      <w:jc w:val="both"/>
      <w:outlineLvl w:val="7"/>
    </w:pPr>
    <w:rPr>
      <w:b/>
      <w:bCs/>
      <w:color w:val="FF0000"/>
      <w:sz w:val="32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semiHidden/>
    <w:pPr>
      <w:jc w:val="center"/>
    </w:pPr>
    <w:rPr>
      <w:b/>
      <w:bCs/>
      <w:sz w:val="32"/>
    </w:rPr>
  </w:style>
  <w:style w:type="paragraph" w:styleId="Lbjegyzetszveg">
    <w:name w:val="footnote text"/>
    <w:basedOn w:val="Norml"/>
    <w:semiHidden/>
    <w:rPr>
      <w:sz w:val="20"/>
      <w:szCs w:val="20"/>
    </w:rPr>
  </w:style>
  <w:style w:type="character" w:styleId="Lbjegyzet-hivatkozs">
    <w:name w:val="footnote reference"/>
    <w:basedOn w:val="Bekezdsalapbettpusa"/>
    <w:semiHidden/>
    <w:rPr>
      <w:vertAlign w:val="superscript"/>
    </w:rPr>
  </w:style>
  <w:style w:type="paragraph" w:styleId="Kpalrs">
    <w:name w:val="caption"/>
    <w:basedOn w:val="Norml"/>
    <w:next w:val="Norml"/>
    <w:qFormat/>
    <w:pPr>
      <w:jc w:val="center"/>
    </w:pPr>
    <w:rPr>
      <w:sz w:val="28"/>
    </w:rPr>
  </w:style>
  <w:style w:type="paragraph" w:styleId="Szvegtrzsbehzssal">
    <w:name w:val="Body Text Indent"/>
    <w:basedOn w:val="Norml"/>
    <w:semiHidden/>
    <w:pPr>
      <w:ind w:left="360"/>
      <w:jc w:val="both"/>
    </w:pPr>
    <w:rPr>
      <w:sz w:val="28"/>
    </w:rPr>
  </w:style>
  <w:style w:type="paragraph" w:styleId="Szvegtrzs2">
    <w:name w:val="Body Text 2"/>
    <w:basedOn w:val="Norml"/>
    <w:semiHidden/>
    <w:pPr>
      <w:jc w:val="center"/>
    </w:pPr>
  </w:style>
  <w:style w:type="paragraph" w:styleId="Szvegtrzs3">
    <w:name w:val="Body Text 3"/>
    <w:basedOn w:val="Norml"/>
    <w:semiHidden/>
    <w:pPr>
      <w:jc w:val="center"/>
    </w:pPr>
    <w:rPr>
      <w:b/>
      <w:bCs/>
    </w:rPr>
  </w:style>
  <w:style w:type="paragraph" w:styleId="Szvegtrzsbehzssal2">
    <w:name w:val="Body Text Indent 2"/>
    <w:basedOn w:val="Norml"/>
    <w:semiHidden/>
    <w:pPr>
      <w:ind w:left="1416"/>
      <w:jc w:val="both"/>
    </w:pPr>
    <w:rPr>
      <w:sz w:val="28"/>
    </w:rPr>
  </w:style>
  <w:style w:type="paragraph" w:styleId="lfej">
    <w:name w:val="header"/>
    <w:basedOn w:val="Norml"/>
    <w:semiHidden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1 Mj kivehető hőenergia ára 85%-os kazán hatásfokkal különféle fűtési rendszerekben (piaci tüzelő árakkal) Ft</a:t>
            </a:r>
          </a:p>
        </c:rich>
      </c:tx>
      <c:layout>
        <c:manualLayout>
          <c:xMode val="edge"/>
          <c:yMode val="edge"/>
          <c:x val="0.13131313131313138"/>
          <c:y val="0"/>
        </c:manualLayout>
      </c:layout>
      <c:spPr>
        <a:noFill/>
        <a:ln w="25400">
          <a:noFill/>
        </a:ln>
      </c:spPr>
    </c:title>
    <c:view3D>
      <c:hPercent val="3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9023569023569029E-2"/>
          <c:y val="0.15658362989323843"/>
          <c:w val="0.91414141414141437"/>
          <c:h val="0.65480427046263379"/>
        </c:manualLayout>
      </c:layout>
      <c:bar3DChart>
        <c:barDir val="col"/>
        <c:grouping val="clustered"/>
        <c:ser>
          <c:idx val="0"/>
          <c:order val="0"/>
          <c:tx>
            <c:strRef>
              <c:f>Munka3!$A$34</c:f>
              <c:strCache>
                <c:ptCount val="1"/>
                <c:pt idx="0">
                  <c:v>Höenergia ára</c:v>
                </c:pt>
              </c:strCache>
            </c:strRef>
          </c:tx>
          <c:spPr>
            <a:solidFill>
              <a:srgbClr val="8080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2087542087542088"/>
                  <c:y val="0.65480427046263379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32323232323232332"/>
                  <c:y val="0.64056939501779353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4393939393939395"/>
                  <c:y val="0.48398576512455543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56060606060606055"/>
                  <c:y val="0.41281138790035604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67340067340067389"/>
                  <c:y val="0.37366548042704639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79124579124579142"/>
                  <c:y val="0.23487544483985764"/>
                </c:manualLayout>
              </c:layout>
              <c:showVal val="1"/>
            </c:dLbl>
            <c:spPr>
              <a:solidFill>
                <a:srgbClr val="FFFFC0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hu-HU"/>
              </a:p>
            </c:txPr>
            <c:showVal val="1"/>
          </c:dLbls>
          <c:cat>
            <c:strRef>
              <c:f>Munka3!$B$33:$G$33</c:f>
              <c:strCache>
                <c:ptCount val="6"/>
                <c:pt idx="0">
                  <c:v>Bála tüzelés</c:v>
                </c:pt>
                <c:pt idx="1">
                  <c:v>Apríték tüzelés</c:v>
                </c:pt>
                <c:pt idx="2">
                  <c:v>Lágyszárú pellet</c:v>
                </c:pt>
                <c:pt idx="3">
                  <c:v>Fa pellet</c:v>
                </c:pt>
                <c:pt idx="4">
                  <c:v>Brikett</c:v>
                </c:pt>
                <c:pt idx="5">
                  <c:v>Gáz</c:v>
                </c:pt>
              </c:strCache>
            </c:strRef>
          </c:cat>
          <c:val>
            <c:numRef>
              <c:f>Munka3!$B$34:$G$34</c:f>
              <c:numCache>
                <c:formatCode>#,##0.00</c:formatCode>
                <c:ptCount val="6"/>
                <c:pt idx="0">
                  <c:v>1.0094521427915941</c:v>
                </c:pt>
                <c:pt idx="1">
                  <c:v>1.3660035857594126</c:v>
                </c:pt>
                <c:pt idx="2">
                  <c:v>2.5547678354729526</c:v>
                </c:pt>
                <c:pt idx="3">
                  <c:v>3.2078270981194126</c:v>
                </c:pt>
                <c:pt idx="4">
                  <c:v>3.3667313079077794</c:v>
                </c:pt>
                <c:pt idx="5">
                  <c:v>4.4982698961937739</c:v>
                </c:pt>
              </c:numCache>
            </c:numRef>
          </c:val>
        </c:ser>
        <c:dLbls>
          <c:showVal val="1"/>
        </c:dLbls>
        <c:shape val="box"/>
        <c:axId val="127981440"/>
        <c:axId val="127982976"/>
        <c:axId val="0"/>
      </c:bar3DChart>
      <c:catAx>
        <c:axId val="127981440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27982976"/>
        <c:crosses val="autoZero"/>
        <c:auto val="1"/>
        <c:lblAlgn val="ctr"/>
        <c:lblOffset val="100"/>
        <c:tickLblSkip val="1"/>
        <c:tickMarkSkip val="1"/>
      </c:catAx>
      <c:valAx>
        <c:axId val="1279829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27981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Az árbevétel az önköltség és az eredmény alakulása a rendszer szereplőinél (Forint)</a:t>
            </a:r>
          </a:p>
        </c:rich>
      </c:tx>
      <c:layout>
        <c:manualLayout>
          <c:xMode val="edge"/>
          <c:yMode val="edge"/>
          <c:x val="0.14859437751004023"/>
          <c:y val="2.1148036253776436E-2"/>
        </c:manualLayout>
      </c:layout>
      <c:spPr>
        <a:noFill/>
        <a:ln w="25399">
          <a:noFill/>
        </a:ln>
      </c:spPr>
    </c:title>
    <c:view3D>
      <c:hPercent val="4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261044176706839"/>
          <c:y val="0.18731117824773419"/>
          <c:w val="0.82730923694779135"/>
          <c:h val="0.55891238670694809"/>
        </c:manualLayout>
      </c:layout>
      <c:bar3DChart>
        <c:barDir val="col"/>
        <c:grouping val="clustered"/>
        <c:ser>
          <c:idx val="0"/>
          <c:order val="0"/>
          <c:tx>
            <c:strRef>
              <c:f>Pelletgyártás!$H$27</c:f>
              <c:strCache>
                <c:ptCount val="1"/>
                <c:pt idx="0">
                  <c:v>Árbevétel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multiLvlStrRef>
              <c:f>Pelletgyártás!$I$25:$K$26</c:f>
              <c:multiLvlStrCache>
                <c:ptCount val="3"/>
                <c:lvl>
                  <c:pt idx="0">
                    <c:v>Projekt cég</c:v>
                  </c:pt>
                  <c:pt idx="1">
                    <c:v>Önkormányzat</c:v>
                  </c:pt>
                  <c:pt idx="2">
                    <c:v>Beszállító</c:v>
                  </c:pt>
                </c:lvl>
                <c:lvl>
                  <c:pt idx="0">
                    <c:v>F o r i n t</c:v>
                  </c:pt>
                </c:lvl>
              </c:multiLvlStrCache>
            </c:multiLvlStrRef>
          </c:cat>
          <c:val>
            <c:numRef>
              <c:f>Pelletgyártás!$I$27:$K$27</c:f>
              <c:numCache>
                <c:formatCode>#,##0</c:formatCode>
                <c:ptCount val="3"/>
                <c:pt idx="0">
                  <c:v>109533094.11764707</c:v>
                </c:pt>
                <c:pt idx="1">
                  <c:v>44563658.823529415</c:v>
                </c:pt>
                <c:pt idx="2">
                  <c:v>33000000.000000004</c:v>
                </c:pt>
              </c:numCache>
            </c:numRef>
          </c:val>
        </c:ser>
        <c:ser>
          <c:idx val="1"/>
          <c:order val="1"/>
          <c:tx>
            <c:strRef>
              <c:f>Pelletgyártás!$H$28</c:f>
              <c:strCache>
                <c:ptCount val="1"/>
                <c:pt idx="0">
                  <c:v>Önköltség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multiLvlStrRef>
              <c:f>Pelletgyártás!$I$25:$K$26</c:f>
              <c:multiLvlStrCache>
                <c:ptCount val="3"/>
                <c:lvl>
                  <c:pt idx="0">
                    <c:v>Projekt cég</c:v>
                  </c:pt>
                  <c:pt idx="1">
                    <c:v>Önkormányzat</c:v>
                  </c:pt>
                  <c:pt idx="2">
                    <c:v>Beszállító</c:v>
                  </c:pt>
                </c:lvl>
                <c:lvl>
                  <c:pt idx="0">
                    <c:v>F o r i n t</c:v>
                  </c:pt>
                </c:lvl>
              </c:multiLvlStrCache>
            </c:multiLvlStrRef>
          </c:cat>
          <c:val>
            <c:numRef>
              <c:f>Pelletgyártás!$I$28:$K$28</c:f>
              <c:numCache>
                <c:formatCode>#,##0</c:formatCode>
                <c:ptCount val="3"/>
                <c:pt idx="0">
                  <c:v>81414894.154383078</c:v>
                </c:pt>
                <c:pt idx="1">
                  <c:v>27728498.823529419</c:v>
                </c:pt>
                <c:pt idx="2">
                  <c:v>24750000.000000004</c:v>
                </c:pt>
              </c:numCache>
            </c:numRef>
          </c:val>
        </c:ser>
        <c:ser>
          <c:idx val="2"/>
          <c:order val="2"/>
          <c:tx>
            <c:strRef>
              <c:f>Pelletgyártás!$H$29</c:f>
              <c:strCache>
                <c:ptCount val="1"/>
                <c:pt idx="0">
                  <c:v>Eredmény (megtakarítás)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multiLvlStrRef>
              <c:f>Pelletgyártás!$I$25:$K$26</c:f>
              <c:multiLvlStrCache>
                <c:ptCount val="3"/>
                <c:lvl>
                  <c:pt idx="0">
                    <c:v>Projekt cég</c:v>
                  </c:pt>
                  <c:pt idx="1">
                    <c:v>Önkormányzat</c:v>
                  </c:pt>
                  <c:pt idx="2">
                    <c:v>Beszállító</c:v>
                  </c:pt>
                </c:lvl>
                <c:lvl>
                  <c:pt idx="0">
                    <c:v>F o r i n t</c:v>
                  </c:pt>
                </c:lvl>
              </c:multiLvlStrCache>
            </c:multiLvlStrRef>
          </c:cat>
          <c:val>
            <c:numRef>
              <c:f>Pelletgyártás!$I$29:$K$29</c:f>
              <c:numCache>
                <c:formatCode>#,##0</c:formatCode>
                <c:ptCount val="3"/>
                <c:pt idx="0">
                  <c:v>28118199.963263974</c:v>
                </c:pt>
                <c:pt idx="1">
                  <c:v>16835159.999999996</c:v>
                </c:pt>
                <c:pt idx="2">
                  <c:v>8250000</c:v>
                </c:pt>
              </c:numCache>
            </c:numRef>
          </c:val>
        </c:ser>
        <c:shape val="box"/>
        <c:axId val="142967552"/>
        <c:axId val="142969088"/>
        <c:axId val="0"/>
      </c:bar3DChart>
      <c:catAx>
        <c:axId val="142967552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42969088"/>
        <c:crosses val="autoZero"/>
        <c:auto val="1"/>
        <c:lblAlgn val="ctr"/>
        <c:lblOffset val="100"/>
        <c:tickLblSkip val="1"/>
        <c:tickMarkSkip val="1"/>
      </c:catAx>
      <c:valAx>
        <c:axId val="1429690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42967552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23293172690763053"/>
          <c:y val="0.92447129909365555"/>
          <c:w val="0.53212851405622486"/>
          <c:h val="6.64652567975830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hu-H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2442</Words>
  <Characters>16855</Characters>
  <Application>Microsoft Office Word</Application>
  <DocSecurity>0</DocSecurity>
  <Lines>140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önkormányzatok intézményeiben és a helységben fellelhető közintézményekben a jelenlegi gázfűtés biomassza fűtésre való ki-v</vt:lpstr>
    </vt:vector>
  </TitlesOfParts>
  <Company>T W Kft</Company>
  <LinksUpToDate>false</LinksUpToDate>
  <CharactersWithSpaces>19259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önkormányzatok intézményeiben és a helységben fellelhető közintézményekben a jelenlegi gázfűtés biomassza fűtésre való ki-v</dc:title>
  <dc:creator>ÉN</dc:creator>
  <cp:lastModifiedBy>Tóth</cp:lastModifiedBy>
  <cp:revision>2</cp:revision>
  <dcterms:created xsi:type="dcterms:W3CDTF">2016-10-29T14:30:00Z</dcterms:created>
  <dcterms:modified xsi:type="dcterms:W3CDTF">2016-10-29T14:30:00Z</dcterms:modified>
</cp:coreProperties>
</file>