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0091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FENNTARTHATÓSÁGI KIHÍVÁSOK </w:t>
      </w:r>
      <w:proofErr w:type="gramStart"/>
      <w:r>
        <w:rPr>
          <w:b/>
          <w:sz w:val="20"/>
          <w:szCs w:val="20"/>
        </w:rPr>
        <w:t>ÉS</w:t>
      </w:r>
      <w:proofErr w:type="gramEnd"/>
      <w:r>
        <w:rPr>
          <w:b/>
          <w:sz w:val="20"/>
          <w:szCs w:val="20"/>
        </w:rPr>
        <w:t xml:space="preserve"> BIOMASSZA-ALAPÚ ENERGIATERMELÉS </w:t>
      </w:r>
    </w:p>
    <w:p w:rsidR="00000000" w:rsidRDefault="0060091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DR. DINYA LÁSZLÓ</w:t>
      </w:r>
    </w:p>
    <w:p w:rsidR="00000000" w:rsidRDefault="0060091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tanszékvezető egyetemi tanár</w:t>
      </w:r>
    </w:p>
    <w:p w:rsidR="00000000" w:rsidRDefault="0060091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Károly Róbert Főiskola –Gyöngyös</w:t>
      </w:r>
    </w:p>
    <w:p w:rsidR="00000000" w:rsidRDefault="0060091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Bioenergetikai Tudásközpont</w:t>
      </w:r>
    </w:p>
    <w:p w:rsidR="00000000" w:rsidRDefault="00600913">
      <w:pPr>
        <w:jc w:val="center"/>
        <w:rPr>
          <w:b/>
          <w:sz w:val="20"/>
          <w:szCs w:val="20"/>
        </w:rPr>
      </w:pPr>
    </w:p>
    <w:p w:rsidR="00000000" w:rsidRDefault="0060091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Kulcsszavak: fenntartható energiagazdálkodás, bioenergetika, bioenergetikai potenciál</w:t>
      </w:r>
      <w:r>
        <w:rPr>
          <w:b/>
          <w:sz w:val="20"/>
          <w:szCs w:val="20"/>
        </w:rPr>
        <w:t>, társadalmi és környezeti hatások</w:t>
      </w:r>
    </w:p>
    <w:p w:rsidR="00000000" w:rsidRDefault="00600913">
      <w:pPr>
        <w:jc w:val="both"/>
        <w:rPr>
          <w:b/>
          <w:sz w:val="20"/>
          <w:szCs w:val="20"/>
        </w:rPr>
      </w:pPr>
    </w:p>
    <w:p w:rsidR="00000000" w:rsidRDefault="0060091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Összefoglaló megállapítások, következtetések, javaslatok</w:t>
      </w:r>
    </w:p>
    <w:p w:rsidR="00000000" w:rsidRDefault="00600913">
      <w:pPr>
        <w:jc w:val="both"/>
        <w:rPr>
          <w:b/>
          <w:sz w:val="20"/>
          <w:szCs w:val="20"/>
        </w:rPr>
      </w:pPr>
    </w:p>
    <w:p w:rsidR="00000000" w:rsidRDefault="0060091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Az emberiséget érintő globális kihívások között az energiaellátás növekvő fontossága sokak figyelmét ráirányítja az agrárgazdaság ilyen irányú lehetséges szerepér</w:t>
      </w:r>
      <w:r>
        <w:rPr>
          <w:b/>
          <w:sz w:val="20"/>
          <w:szCs w:val="20"/>
        </w:rPr>
        <w:t>e. Magyarország kiváló mezőgazdasági adottságaiból kiindulva többen már biomassza nagyhatalomként is aposztrofálták hazánkat. A biomassza alapú energiatermelés (azaz a bioenergetika) lehetőségeinek és korlátainak vitájában azonban gyakran elkövetik azt a h</w:t>
      </w:r>
      <w:r>
        <w:rPr>
          <w:b/>
          <w:sz w:val="20"/>
          <w:szCs w:val="20"/>
        </w:rPr>
        <w:t>ibát, hogy a kérdést a fenntarthatóságtól függetlenül tárgyalják. Ennek következtében országos, ágazati, vagy projekt szinten is találkozhatunk félrevezető kalkulációkkal, amelyek téves üzleti, vagy akár gazdaságpolitikai döntések forrásává válhatnak.  Tan</w:t>
      </w:r>
      <w:r>
        <w:rPr>
          <w:b/>
          <w:sz w:val="20"/>
          <w:szCs w:val="20"/>
        </w:rPr>
        <w:t>ulmányunkban azt javasoljuk, hogy a bioenergetikai ágazat stratégiai fejlesztésénél a fenntartható energiagazdálkodás legyen a kiindulópont, és felvázoljuk ennek rendszerét, összetevőit, közéjük illesztve a bioenergetikát is. A bioenergetikai potenciál mér</w:t>
      </w:r>
      <w:r>
        <w:rPr>
          <w:b/>
          <w:sz w:val="20"/>
          <w:szCs w:val="20"/>
        </w:rPr>
        <w:t>tékének meghatározásakor pedig az egységes fogalomhasználat érdekében az igen eltérő tartalmú lehetséges potenciálok közül a fenntartható potenciált javasoljuk alapul venni, miután kalkulálni, vagy realizálni a bioenergetikai potenciált messze nem ugyanaz.</w:t>
      </w:r>
      <w:r>
        <w:rPr>
          <w:b/>
          <w:sz w:val="20"/>
          <w:szCs w:val="20"/>
        </w:rPr>
        <w:t xml:space="preserve"> A teljesség igénye nélkül rámutatunk több nyitott kérdésre, amelyek korrekt megválaszolása előfeltétele a formálódó új ágazat, a bioenergetika kibontakozásának. Ezek között fontos szerepe van a környezeti előnyök – hátrányok átfogó mérlegelésének, illetve</w:t>
      </w:r>
      <w:r>
        <w:rPr>
          <w:b/>
          <w:sz w:val="20"/>
          <w:szCs w:val="20"/>
        </w:rPr>
        <w:t xml:space="preserve"> a társadalmi hatásoknál a közvetlen és közvetett munkahelyteremtő potenciál elemzésének.</w:t>
      </w:r>
    </w:p>
    <w:p w:rsidR="00000000" w:rsidRDefault="00600913">
      <w:pPr>
        <w:jc w:val="both"/>
        <w:rPr>
          <w:b/>
          <w:sz w:val="20"/>
          <w:szCs w:val="20"/>
        </w:rPr>
      </w:pPr>
    </w:p>
    <w:p w:rsidR="00000000" w:rsidRDefault="0060091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Fenntarthatósági kihívások - globális és hazai trendek</w:t>
      </w:r>
    </w:p>
    <w:p w:rsidR="00000000" w:rsidRDefault="00600913">
      <w:pPr>
        <w:jc w:val="both"/>
        <w:rPr>
          <w:b/>
          <w:sz w:val="20"/>
          <w:szCs w:val="20"/>
        </w:rPr>
      </w:pPr>
    </w:p>
    <w:p w:rsidR="00000000" w:rsidRDefault="0060091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Néhány éve R. E. Smalley Nobel-díjas tudós egy szakértőcsoport munkáját összegezve egyfajta </w:t>
      </w:r>
      <w:r>
        <w:rPr>
          <w:b/>
          <w:sz w:val="20"/>
          <w:szCs w:val="20"/>
        </w:rPr>
        <w:t>rangsorba</w:t>
      </w:r>
      <w:r>
        <w:rPr>
          <w:sz w:val="20"/>
          <w:szCs w:val="20"/>
        </w:rPr>
        <w:t xml:space="preserve"> állítot</w:t>
      </w:r>
      <w:r>
        <w:rPr>
          <w:sz w:val="20"/>
          <w:szCs w:val="20"/>
        </w:rPr>
        <w:t xml:space="preserve">ta </w:t>
      </w:r>
      <w:r>
        <w:rPr>
          <w:b/>
          <w:sz w:val="20"/>
          <w:szCs w:val="20"/>
        </w:rPr>
        <w:t xml:space="preserve">az emberiség 10 legnagyobb feladatát </w:t>
      </w:r>
      <w:r>
        <w:rPr>
          <w:sz w:val="20"/>
          <w:szCs w:val="20"/>
        </w:rPr>
        <w:t xml:space="preserve">(kihívását), amelyet a következő évtizedekben meg kell oldanunk: </w:t>
      </w:r>
      <w:r>
        <w:rPr>
          <w:i/>
          <w:sz w:val="20"/>
          <w:szCs w:val="20"/>
        </w:rPr>
        <w:t>(in: Dinya L., 2007.)</w:t>
      </w:r>
    </w:p>
    <w:p w:rsidR="00000000" w:rsidRDefault="00600913">
      <w:pPr>
        <w:jc w:val="both"/>
        <w:rPr>
          <w:sz w:val="20"/>
          <w:szCs w:val="20"/>
        </w:rPr>
      </w:pPr>
    </w:p>
    <w:p w:rsidR="00000000" w:rsidRDefault="00600913">
      <w:pPr>
        <w:numPr>
          <w:ilvl w:val="0"/>
          <w:numId w:val="2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Energiaellátás</w:t>
      </w:r>
    </w:p>
    <w:p w:rsidR="00000000" w:rsidRDefault="00600913">
      <w:pPr>
        <w:numPr>
          <w:ilvl w:val="0"/>
          <w:numId w:val="2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Vízellátás</w:t>
      </w:r>
    </w:p>
    <w:p w:rsidR="00000000" w:rsidRDefault="00600913">
      <w:pPr>
        <w:numPr>
          <w:ilvl w:val="0"/>
          <w:numId w:val="2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Élelmiszerellátás </w:t>
      </w:r>
    </w:p>
    <w:p w:rsidR="00000000" w:rsidRDefault="00600913">
      <w:pPr>
        <w:numPr>
          <w:ilvl w:val="0"/>
          <w:numId w:val="2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Természeti környezet megvédése</w:t>
      </w:r>
    </w:p>
    <w:p w:rsidR="00000000" w:rsidRDefault="00600913">
      <w:pPr>
        <w:numPr>
          <w:ilvl w:val="0"/>
          <w:numId w:val="22"/>
        </w:numPr>
        <w:jc w:val="both"/>
        <w:rPr>
          <w:sz w:val="20"/>
          <w:szCs w:val="20"/>
        </w:rPr>
      </w:pPr>
      <w:r>
        <w:rPr>
          <w:sz w:val="20"/>
          <w:szCs w:val="20"/>
        </w:rPr>
        <w:t>Szegénység megszüntetése</w:t>
      </w:r>
    </w:p>
    <w:p w:rsidR="00000000" w:rsidRDefault="00600913">
      <w:pPr>
        <w:numPr>
          <w:ilvl w:val="0"/>
          <w:numId w:val="22"/>
        </w:numPr>
        <w:jc w:val="both"/>
        <w:rPr>
          <w:sz w:val="20"/>
          <w:szCs w:val="20"/>
        </w:rPr>
      </w:pPr>
      <w:r>
        <w:rPr>
          <w:sz w:val="20"/>
          <w:szCs w:val="20"/>
        </w:rPr>
        <w:t>Terrorizmus és háborúk kikü</w:t>
      </w:r>
      <w:r>
        <w:rPr>
          <w:sz w:val="20"/>
          <w:szCs w:val="20"/>
        </w:rPr>
        <w:t>szöbölése</w:t>
      </w:r>
    </w:p>
    <w:p w:rsidR="00000000" w:rsidRDefault="00600913">
      <w:pPr>
        <w:numPr>
          <w:ilvl w:val="0"/>
          <w:numId w:val="22"/>
        </w:numPr>
        <w:jc w:val="both"/>
        <w:rPr>
          <w:sz w:val="20"/>
          <w:szCs w:val="20"/>
        </w:rPr>
      </w:pPr>
      <w:r>
        <w:rPr>
          <w:sz w:val="20"/>
          <w:szCs w:val="20"/>
        </w:rPr>
        <w:t>Betegségek elleni küzdelem</w:t>
      </w:r>
    </w:p>
    <w:p w:rsidR="00000000" w:rsidRDefault="00600913">
      <w:pPr>
        <w:numPr>
          <w:ilvl w:val="0"/>
          <w:numId w:val="22"/>
        </w:numPr>
        <w:jc w:val="both"/>
        <w:rPr>
          <w:sz w:val="20"/>
          <w:szCs w:val="20"/>
        </w:rPr>
      </w:pPr>
      <w:r>
        <w:rPr>
          <w:sz w:val="20"/>
          <w:szCs w:val="20"/>
        </w:rPr>
        <w:t>Oktatás korszerűsítése</w:t>
      </w:r>
    </w:p>
    <w:p w:rsidR="00000000" w:rsidRDefault="00600913">
      <w:pPr>
        <w:numPr>
          <w:ilvl w:val="0"/>
          <w:numId w:val="22"/>
        </w:numPr>
        <w:jc w:val="both"/>
        <w:rPr>
          <w:sz w:val="20"/>
          <w:szCs w:val="20"/>
        </w:rPr>
      </w:pPr>
      <w:r>
        <w:rPr>
          <w:sz w:val="20"/>
          <w:szCs w:val="20"/>
        </w:rPr>
        <w:t>Demokrácia biztosítása</w:t>
      </w:r>
    </w:p>
    <w:p w:rsidR="00000000" w:rsidRDefault="00600913">
      <w:pPr>
        <w:numPr>
          <w:ilvl w:val="0"/>
          <w:numId w:val="22"/>
        </w:numPr>
        <w:jc w:val="both"/>
        <w:rPr>
          <w:sz w:val="20"/>
          <w:szCs w:val="20"/>
        </w:rPr>
      </w:pPr>
      <w:r>
        <w:rPr>
          <w:sz w:val="20"/>
          <w:szCs w:val="20"/>
        </w:rPr>
        <w:t>Túlnépesedés megállítása</w:t>
      </w:r>
    </w:p>
    <w:p w:rsidR="00000000" w:rsidRDefault="00600913">
      <w:pPr>
        <w:jc w:val="both"/>
        <w:rPr>
          <w:sz w:val="20"/>
          <w:szCs w:val="20"/>
        </w:rPr>
      </w:pPr>
    </w:p>
    <w:p w:rsidR="00000000" w:rsidRDefault="0060091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Mielőtt még a felsoroltak közül hiányolnánk a klímaváltozást, vagy a fenntarthatóságot jelezzük, hogy a </w:t>
      </w:r>
      <w:r>
        <w:rPr>
          <w:b/>
          <w:sz w:val="20"/>
          <w:szCs w:val="20"/>
        </w:rPr>
        <w:t>klímaváltozás</w:t>
      </w:r>
      <w:r>
        <w:rPr>
          <w:sz w:val="20"/>
          <w:szCs w:val="20"/>
        </w:rPr>
        <w:t xml:space="preserve"> értelemszerűen a természeti k</w:t>
      </w:r>
      <w:r>
        <w:rPr>
          <w:sz w:val="20"/>
          <w:szCs w:val="20"/>
        </w:rPr>
        <w:t xml:space="preserve">örnyezeti kihívás fontos részének tekintendő (látnivaló, hogy mindegyik felsorolt kihívás önmagában is soktényezős, komplex rendszert képez), a </w:t>
      </w:r>
      <w:r>
        <w:rPr>
          <w:b/>
          <w:sz w:val="20"/>
          <w:szCs w:val="20"/>
        </w:rPr>
        <w:t>fenntarthatóság</w:t>
      </w:r>
      <w:r>
        <w:rPr>
          <w:sz w:val="20"/>
          <w:szCs w:val="20"/>
        </w:rPr>
        <w:t xml:space="preserve"> pedig a teljes, kölcsönösen összefüggő „problémagubanc” együttesét jelenti.  Ezek a kihívások ug</w:t>
      </w:r>
      <w:r>
        <w:rPr>
          <w:sz w:val="20"/>
          <w:szCs w:val="20"/>
        </w:rPr>
        <w:t xml:space="preserve">yanis szorosan összefüggenek egymással, illetve a </w:t>
      </w:r>
      <w:r>
        <w:rPr>
          <w:b/>
          <w:sz w:val="20"/>
          <w:szCs w:val="20"/>
        </w:rPr>
        <w:t>fenntarthatóság</w:t>
      </w:r>
      <w:r>
        <w:rPr>
          <w:sz w:val="20"/>
          <w:szCs w:val="20"/>
        </w:rPr>
        <w:t xml:space="preserve"> kérdésével, és nem véletlen a </w:t>
      </w:r>
      <w:r>
        <w:rPr>
          <w:b/>
          <w:sz w:val="20"/>
          <w:szCs w:val="20"/>
        </w:rPr>
        <w:t>rangsorolás</w:t>
      </w:r>
      <w:r>
        <w:rPr>
          <w:sz w:val="20"/>
          <w:szCs w:val="20"/>
        </w:rPr>
        <w:t xml:space="preserve"> sem: a </w:t>
      </w:r>
      <w:r>
        <w:rPr>
          <w:b/>
          <w:sz w:val="20"/>
          <w:szCs w:val="20"/>
        </w:rPr>
        <w:t>fenntartható energiagazdálkodásra</w:t>
      </w:r>
      <w:r>
        <w:rPr>
          <w:sz w:val="20"/>
          <w:szCs w:val="20"/>
        </w:rPr>
        <w:t xml:space="preserve"> átállás direkt vagy indirekt módon előfeltétele a sorban utána következő feladatok (vízellátás – élelmiszer</w:t>
      </w:r>
      <w:r>
        <w:rPr>
          <w:sz w:val="20"/>
          <w:szCs w:val="20"/>
        </w:rPr>
        <w:t>ellátás – környezet tehermentesítése, stb…) megoldásának. A vízellátás biztonsága feltételezi az energiaellátás biztonságát, energia és víz nélkül pedig nincs elegendő élelmiszer, és így tovább. A fenntarthatóság, globális klímaváltozás és az energia probl</w:t>
      </w:r>
      <w:r>
        <w:rPr>
          <w:sz w:val="20"/>
          <w:szCs w:val="20"/>
        </w:rPr>
        <w:t xml:space="preserve">émakör szoros kölcsönhatásban és összefüggésrendszerben (holisztikusan) közelítendő meg, és így oldhatók meg a beavatkozások is. Az utóbbi néhány évben a </w:t>
      </w:r>
      <w:r>
        <w:rPr>
          <w:b/>
          <w:sz w:val="20"/>
          <w:szCs w:val="20"/>
        </w:rPr>
        <w:t>klímaváltozás</w:t>
      </w:r>
      <w:r>
        <w:rPr>
          <w:sz w:val="20"/>
          <w:szCs w:val="20"/>
        </w:rPr>
        <w:t xml:space="preserve"> egyre nagyobb súlyt kap a kihívások között. Az </w:t>
      </w:r>
      <w:r>
        <w:rPr>
          <w:b/>
          <w:sz w:val="20"/>
          <w:szCs w:val="20"/>
        </w:rPr>
        <w:t>IPCC</w:t>
      </w:r>
      <w:r>
        <w:rPr>
          <w:sz w:val="20"/>
          <w:szCs w:val="20"/>
        </w:rPr>
        <w:t xml:space="preserve"> („Intergovernmental Panel on Climate</w:t>
      </w:r>
      <w:r>
        <w:rPr>
          <w:sz w:val="20"/>
          <w:szCs w:val="20"/>
        </w:rPr>
        <w:t xml:space="preserve"> Change</w:t>
      </w:r>
      <w:r>
        <w:rPr>
          <w:color w:val="000000"/>
          <w:sz w:val="20"/>
          <w:szCs w:val="20"/>
        </w:rPr>
        <w:t xml:space="preserve">”) </w:t>
      </w:r>
      <w:r>
        <w:rPr>
          <w:sz w:val="20"/>
          <w:szCs w:val="20"/>
        </w:rPr>
        <w:t>harmadik és negyedik jelentése és az IPCC budapesti ülésezése egyaránt hangsúlyozta, hogy a klímaváltozás legnagyobb veszélye a fenntarthatóságra gyakorolt negatív hatás. A fenntarthatóság megvalósítására, valamint a klímaváltozás hatásaira adhat</w:t>
      </w:r>
      <w:r>
        <w:rPr>
          <w:sz w:val="20"/>
          <w:szCs w:val="20"/>
        </w:rPr>
        <w:t xml:space="preserve">ó válaszok egyik ugrópontja pedig az </w:t>
      </w:r>
      <w:r>
        <w:rPr>
          <w:b/>
          <w:sz w:val="20"/>
          <w:szCs w:val="20"/>
        </w:rPr>
        <w:t>energiakérdés</w:t>
      </w:r>
      <w:r>
        <w:rPr>
          <w:sz w:val="20"/>
          <w:szCs w:val="20"/>
        </w:rPr>
        <w:t>. (</w:t>
      </w:r>
      <w:r>
        <w:rPr>
          <w:i/>
          <w:sz w:val="20"/>
          <w:szCs w:val="20"/>
        </w:rPr>
        <w:t>Csete L. 2008.</w:t>
      </w:r>
      <w:r>
        <w:rPr>
          <w:sz w:val="20"/>
          <w:szCs w:val="20"/>
        </w:rPr>
        <w:t xml:space="preserve">) </w:t>
      </w:r>
    </w:p>
    <w:p w:rsidR="00000000" w:rsidRDefault="00600913">
      <w:pPr>
        <w:jc w:val="both"/>
        <w:rPr>
          <w:sz w:val="20"/>
          <w:szCs w:val="20"/>
        </w:rPr>
      </w:pPr>
    </w:p>
    <w:p w:rsidR="00000000" w:rsidRDefault="00600913">
      <w:pPr>
        <w:tabs>
          <w:tab w:val="left" w:pos="0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>
        <w:rPr>
          <w:b/>
          <w:sz w:val="20"/>
          <w:szCs w:val="20"/>
        </w:rPr>
        <w:t>természeti erőforrások</w:t>
      </w:r>
      <w:r>
        <w:rPr>
          <w:sz w:val="20"/>
          <w:szCs w:val="20"/>
        </w:rPr>
        <w:t xml:space="preserve"> a természeti környezet emberi szükségleteket kielégítő részét képezik. Kimerülésük globálisan és lokálisan – így Magyarország esetében is - kézzelfogható közelségbe került, és ennek következtében a </w:t>
      </w:r>
      <w:r>
        <w:rPr>
          <w:b/>
          <w:sz w:val="20"/>
          <w:szCs w:val="20"/>
        </w:rPr>
        <w:t>fenntartható fejlődés</w:t>
      </w:r>
      <w:r>
        <w:rPr>
          <w:sz w:val="20"/>
          <w:szCs w:val="20"/>
        </w:rPr>
        <w:t xml:space="preserve"> a következő é</w:t>
      </w:r>
      <w:r>
        <w:rPr>
          <w:sz w:val="20"/>
          <w:szCs w:val="20"/>
        </w:rPr>
        <w:t xml:space="preserve">vtizedek – és az emberiség eddigi történetének - </w:t>
      </w:r>
      <w:r>
        <w:rPr>
          <w:b/>
          <w:sz w:val="20"/>
          <w:szCs w:val="20"/>
        </w:rPr>
        <w:t>legnagyobb komplex kihívásává vált</w:t>
      </w:r>
      <w:r>
        <w:rPr>
          <w:sz w:val="20"/>
          <w:szCs w:val="20"/>
        </w:rPr>
        <w:t>. Globális, makro- és mikroszinten egyaránt jelentkezik, és a társadalmi, gazdasági, ökológiai problémák összefonódásával jár. A természeti erőforrás-gazdálkodásban új parad</w:t>
      </w:r>
      <w:r>
        <w:rPr>
          <w:sz w:val="20"/>
          <w:szCs w:val="20"/>
        </w:rPr>
        <w:t xml:space="preserve">igmát célszerű követni, amely a </w:t>
      </w:r>
      <w:r>
        <w:rPr>
          <w:b/>
          <w:sz w:val="20"/>
          <w:szCs w:val="20"/>
        </w:rPr>
        <w:t>fenntarthatóság – klímaváltozás – globalizáció</w:t>
      </w:r>
      <w:r>
        <w:rPr>
          <w:sz w:val="20"/>
          <w:szCs w:val="20"/>
        </w:rPr>
        <w:t xml:space="preserve"> hármasra épül. A fenntarthatóság csak ebben az összhangban érvényesíthető. (</w:t>
      </w:r>
      <w:r>
        <w:rPr>
          <w:i/>
          <w:sz w:val="20"/>
          <w:szCs w:val="20"/>
        </w:rPr>
        <w:t>Csete L. 2008.</w:t>
      </w:r>
      <w:r>
        <w:rPr>
          <w:sz w:val="20"/>
          <w:szCs w:val="20"/>
        </w:rPr>
        <w:t>)</w:t>
      </w:r>
    </w:p>
    <w:p w:rsidR="00000000" w:rsidRDefault="00600913">
      <w:pPr>
        <w:jc w:val="both"/>
        <w:rPr>
          <w:sz w:val="20"/>
          <w:szCs w:val="20"/>
        </w:rPr>
      </w:pPr>
    </w:p>
    <w:p w:rsidR="00000000" w:rsidRDefault="00600913">
      <w:pPr>
        <w:tabs>
          <w:tab w:val="left" w:pos="0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fenntarthatóság – klímaváltozás – globalizáció hármason belül a </w:t>
      </w:r>
      <w:r>
        <w:rPr>
          <w:b/>
          <w:sz w:val="20"/>
          <w:szCs w:val="20"/>
        </w:rPr>
        <w:t>fenntartható termé</w:t>
      </w:r>
      <w:r>
        <w:rPr>
          <w:b/>
          <w:sz w:val="20"/>
          <w:szCs w:val="20"/>
        </w:rPr>
        <w:t>szeti erőforrás-gazdálkodás</w:t>
      </w:r>
      <w:r>
        <w:rPr>
          <w:sz w:val="20"/>
          <w:szCs w:val="20"/>
        </w:rPr>
        <w:t xml:space="preserve"> lényege: javak előállítása emberi szükségletekre jövedelmező vagy gazdaságos módon, úgy, hogy az erőforrások regenerálódnak és a környezetet érő terhelés asszimilálódik. A regenerálódás a folyamat, a terhelés pedig az állapot, a</w:t>
      </w:r>
      <w:r>
        <w:rPr>
          <w:sz w:val="20"/>
          <w:szCs w:val="20"/>
        </w:rPr>
        <w:t xml:space="preserve">z érme két oldala. Az USA-ban felkarolt </w:t>
      </w:r>
      <w:r>
        <w:rPr>
          <w:b/>
          <w:sz w:val="20"/>
          <w:szCs w:val="20"/>
        </w:rPr>
        <w:t>alternatív gazdálkodás</w:t>
      </w:r>
      <w:r>
        <w:rPr>
          <w:sz w:val="20"/>
          <w:szCs w:val="20"/>
        </w:rPr>
        <w:t xml:space="preserve"> leegyszerűsítve úgy szól, hogy az a fenntartható, ami nem károsítja a természeti erőforrást, nem árt a gazdálkodónak és jó a fogyasztónak. A fenntarthatóság </w:t>
      </w:r>
      <w:r>
        <w:rPr>
          <w:b/>
          <w:sz w:val="20"/>
          <w:szCs w:val="20"/>
        </w:rPr>
        <w:t>tartalmilag</w:t>
      </w:r>
      <w:r>
        <w:rPr>
          <w:sz w:val="20"/>
          <w:szCs w:val="20"/>
        </w:rPr>
        <w:t xml:space="preserve"> a természeti környezet –</w:t>
      </w:r>
      <w:r>
        <w:rPr>
          <w:sz w:val="20"/>
          <w:szCs w:val="20"/>
        </w:rPr>
        <w:t xml:space="preserve"> gazdaság – társadalom hármas összekapcsolódást, </w:t>
      </w:r>
      <w:r>
        <w:rPr>
          <w:b/>
          <w:sz w:val="20"/>
          <w:szCs w:val="20"/>
        </w:rPr>
        <w:t>szintjeit</w:t>
      </w:r>
      <w:r>
        <w:rPr>
          <w:sz w:val="20"/>
          <w:szCs w:val="20"/>
        </w:rPr>
        <w:t xml:space="preserve"> tekintve pedig a globális - regionális (nemzeti) – lokális szinteket jelenti. </w:t>
      </w:r>
      <w:r>
        <w:rPr>
          <w:i/>
          <w:sz w:val="20"/>
          <w:szCs w:val="20"/>
        </w:rPr>
        <w:t>(Csete L., 2008)</w:t>
      </w:r>
      <w:r>
        <w:rPr>
          <w:sz w:val="20"/>
          <w:szCs w:val="20"/>
        </w:rPr>
        <w:t xml:space="preserve">. A fenntartható természeti erőforrás gazdálkodás növekvő fontosságát számtalan érv mellett az ún. </w:t>
      </w:r>
      <w:r>
        <w:rPr>
          <w:b/>
          <w:sz w:val="20"/>
          <w:szCs w:val="20"/>
        </w:rPr>
        <w:t>ökol</w:t>
      </w:r>
      <w:r>
        <w:rPr>
          <w:b/>
          <w:sz w:val="20"/>
          <w:szCs w:val="20"/>
        </w:rPr>
        <w:t>ógiai lábnyommal</w:t>
      </w:r>
      <w:r>
        <w:rPr>
          <w:sz w:val="20"/>
          <w:szCs w:val="20"/>
        </w:rPr>
        <w:t xml:space="preserve"> kapcsolatos számítások is alátámasztják. Miután az ökológiai lábnyommal leírható e</w:t>
      </w:r>
      <w:r>
        <w:rPr>
          <w:rStyle w:val="szoveg-kozepe"/>
          <w:sz w:val="20"/>
          <w:szCs w:val="20"/>
        </w:rPr>
        <w:t>gy ember, vagy egy adott terület népességének a természetre gyakorolt hatása (hektárban kifejezett mutatószám), ennek alapján ismeretes, hogy 1987. óta Földü</w:t>
      </w:r>
      <w:r>
        <w:rPr>
          <w:rStyle w:val="szoveg-kozepe"/>
          <w:sz w:val="20"/>
          <w:szCs w:val="20"/>
        </w:rPr>
        <w:t xml:space="preserve">nkre az „ökológiai túlköltés” egyre növekvő mértéke jellemző.  </w:t>
      </w:r>
    </w:p>
    <w:p w:rsidR="00000000" w:rsidRDefault="0060091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00000" w:rsidRDefault="0060091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Kevés olyan ágazat van, mint </w:t>
      </w:r>
      <w:r>
        <w:rPr>
          <w:b/>
          <w:sz w:val="20"/>
          <w:szCs w:val="20"/>
        </w:rPr>
        <w:t>az agrárium</w:t>
      </w:r>
      <w:r>
        <w:rPr>
          <w:sz w:val="20"/>
          <w:szCs w:val="20"/>
        </w:rPr>
        <w:t xml:space="preserve">, amelyet a </w:t>
      </w:r>
      <w:r>
        <w:rPr>
          <w:b/>
          <w:sz w:val="20"/>
          <w:szCs w:val="20"/>
        </w:rPr>
        <w:t>rangsor elején álló kihívások mindegyike</w:t>
      </w:r>
      <w:r>
        <w:rPr>
          <w:sz w:val="20"/>
          <w:szCs w:val="20"/>
        </w:rPr>
        <w:t xml:space="preserve"> alapvetően érint: részben a fenyegetések, részben a lehetőségek oldaláról – attól függően, hogy ké</w:t>
      </w:r>
      <w:r>
        <w:rPr>
          <w:sz w:val="20"/>
          <w:szCs w:val="20"/>
        </w:rPr>
        <w:t xml:space="preserve">nyszerpályának, vagy kitörési pontnak tekintjük ezeket a tendenciákat. Ha azt vesszük, hogy hazánk relatíve (nem abszolút értelemben!) kivételes nagyságú mezőgazdasági potenciállal rendelkezik (másfajta </w:t>
      </w:r>
      <w:proofErr w:type="gramStart"/>
      <w:r>
        <w:rPr>
          <w:sz w:val="20"/>
          <w:szCs w:val="20"/>
        </w:rPr>
        <w:t>potenciállal</w:t>
      </w:r>
      <w:proofErr w:type="gramEnd"/>
      <w:r>
        <w:rPr>
          <w:sz w:val="20"/>
          <w:szCs w:val="20"/>
        </w:rPr>
        <w:t xml:space="preserve"> sokkal kevésbé), akkor a globális kihívá</w:t>
      </w:r>
      <w:r>
        <w:rPr>
          <w:sz w:val="20"/>
          <w:szCs w:val="20"/>
        </w:rPr>
        <w:t xml:space="preserve">sok listájából kiindulva, illetve más szerzőkel </w:t>
      </w:r>
      <w:r>
        <w:rPr>
          <w:i/>
          <w:sz w:val="20"/>
          <w:szCs w:val="20"/>
        </w:rPr>
        <w:t xml:space="preserve">(Mészáros S.-Forgács Cs., 2008.) </w:t>
      </w:r>
      <w:r>
        <w:rPr>
          <w:sz w:val="20"/>
          <w:szCs w:val="20"/>
        </w:rPr>
        <w:t xml:space="preserve">is összhangban el kell fogadnunk: a következő két évtizedben </w:t>
      </w:r>
      <w:r>
        <w:rPr>
          <w:b/>
          <w:sz w:val="20"/>
          <w:szCs w:val="20"/>
        </w:rPr>
        <w:t xml:space="preserve">az agrárium fejlődési (fejlesztési) pályájában nagyjából az alábbi irányokat kellene preferálnunk: </w:t>
      </w:r>
      <w:r>
        <w:rPr>
          <w:i/>
          <w:sz w:val="20"/>
          <w:szCs w:val="20"/>
        </w:rPr>
        <w:t>(Dinya L</w:t>
      </w:r>
      <w:r>
        <w:rPr>
          <w:i/>
          <w:sz w:val="20"/>
          <w:szCs w:val="20"/>
          <w:vertAlign w:val="superscript"/>
        </w:rPr>
        <w:t>2</w:t>
      </w:r>
      <w:r>
        <w:rPr>
          <w:i/>
          <w:sz w:val="20"/>
          <w:szCs w:val="20"/>
        </w:rPr>
        <w:t>., 200</w:t>
      </w:r>
      <w:r>
        <w:rPr>
          <w:i/>
          <w:sz w:val="20"/>
          <w:szCs w:val="20"/>
        </w:rPr>
        <w:t>8.)</w:t>
      </w:r>
    </w:p>
    <w:p w:rsidR="00000000" w:rsidRDefault="00600913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000000" w:rsidRDefault="00600913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energiatakarékos termesztési és tartástechnológiák, növény- és állatfajták előállítása</w:t>
      </w:r>
    </w:p>
    <w:p w:rsidR="00000000" w:rsidRDefault="00600913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a melléktermékek maximális energetikai hasznosítása és energiacélú főtermékek előállítása</w:t>
      </w:r>
    </w:p>
    <w:p w:rsidR="00000000" w:rsidRDefault="00600913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víztakarékos termesztés és tartástechnológiák, minimális vízigényű növény-</w:t>
      </w:r>
      <w:r>
        <w:rPr>
          <w:sz w:val="20"/>
          <w:szCs w:val="20"/>
        </w:rPr>
        <w:t xml:space="preserve"> és állatfajták előállítása, termelésbe állítása</w:t>
      </w:r>
    </w:p>
    <w:p w:rsidR="00000000" w:rsidRDefault="00600913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a radikálisan változó igényeknek megfelelő mennyiségi és minőségi összetételű élelmiszer termelése, minőségbiztosítási rendszerek általánossá tétele az agráriumban</w:t>
      </w:r>
    </w:p>
    <w:p w:rsidR="00000000" w:rsidRDefault="00600913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környezetkímélő, „tiszta” öko-termesztési t</w:t>
      </w:r>
      <w:r>
        <w:rPr>
          <w:sz w:val="20"/>
          <w:szCs w:val="20"/>
        </w:rPr>
        <w:t>echnológiák, a GMO-dilemma megoldása</w:t>
      </w:r>
    </w:p>
    <w:p w:rsidR="00000000" w:rsidRDefault="00600913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mindezeket természetesen összekapcsolva a regionális fejlesztés és a fenntartható fejlődés szempontjainak érvényesítésével</w:t>
      </w:r>
    </w:p>
    <w:p w:rsidR="00000000" w:rsidRDefault="0060091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00000" w:rsidRDefault="0060091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Az agrárium, sőt a nemzetgazdaság új pályára állítása érdekében alapvető átalakítások szükséges</w:t>
      </w:r>
      <w:r>
        <w:rPr>
          <w:sz w:val="20"/>
          <w:szCs w:val="20"/>
        </w:rPr>
        <w:t xml:space="preserve">ek az intézményrendszerben, érdekeltségi és finanszírozási rendszerben, gazdálkodási és működési szemléletben. Nem utolsó sorban pedig </w:t>
      </w:r>
      <w:r>
        <w:rPr>
          <w:color w:val="000000"/>
          <w:sz w:val="20"/>
          <w:szCs w:val="20"/>
        </w:rPr>
        <w:t>a prioritásokkal összhangban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hatalmas </w:t>
      </w:r>
      <w:r>
        <w:rPr>
          <w:b/>
          <w:sz w:val="20"/>
          <w:szCs w:val="20"/>
        </w:rPr>
        <w:t>innovációs és tudatformálási feladatok</w:t>
      </w:r>
      <w:r>
        <w:rPr>
          <w:sz w:val="20"/>
          <w:szCs w:val="20"/>
        </w:rPr>
        <w:t xml:space="preserve"> fogalmazódnak meg, amelyeket megoldani csak </w:t>
      </w:r>
      <w:r>
        <w:rPr>
          <w:sz w:val="20"/>
          <w:szCs w:val="20"/>
        </w:rPr>
        <w:t xml:space="preserve">az országot átívelő, </w:t>
      </w:r>
      <w:r>
        <w:rPr>
          <w:b/>
          <w:sz w:val="20"/>
          <w:szCs w:val="20"/>
        </w:rPr>
        <w:t>specializált kompetenciaközpontok hálózatának</w:t>
      </w:r>
      <w:r>
        <w:rPr>
          <w:sz w:val="20"/>
          <w:szCs w:val="20"/>
        </w:rPr>
        <w:t xml:space="preserve"> kialakításával és működtetésével lehetséges, amelyek szoros kapcsolatban állnak, együttműködnek az agrárium, tágabb értelemben a nemzetgazdaság szereplőivel.</w:t>
      </w:r>
    </w:p>
    <w:p w:rsidR="00000000" w:rsidRDefault="0060091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00000" w:rsidRDefault="00600913">
      <w:pPr>
        <w:jc w:val="both"/>
        <w:rPr>
          <w:sz w:val="20"/>
          <w:szCs w:val="20"/>
        </w:rPr>
      </w:pPr>
      <w:r>
        <w:rPr>
          <w:sz w:val="20"/>
          <w:szCs w:val="20"/>
        </w:rPr>
        <w:t>Magyarországnak természeti erő</w:t>
      </w:r>
      <w:r>
        <w:rPr>
          <w:sz w:val="20"/>
          <w:szCs w:val="20"/>
        </w:rPr>
        <w:t xml:space="preserve">forrás ellátottság tekintetében </w:t>
      </w:r>
      <w:r>
        <w:rPr>
          <w:b/>
          <w:sz w:val="20"/>
          <w:szCs w:val="20"/>
        </w:rPr>
        <w:t>abszolút értelemben</w:t>
      </w:r>
      <w:r>
        <w:rPr>
          <w:sz w:val="20"/>
          <w:szCs w:val="20"/>
        </w:rPr>
        <w:t xml:space="preserve"> (a nagy országokkal összevetve) igen korlátozottak a lehetőségei, ami felértékeli a meglevő, </w:t>
      </w:r>
      <w:r>
        <w:rPr>
          <w:b/>
          <w:sz w:val="20"/>
          <w:szCs w:val="20"/>
        </w:rPr>
        <w:t>relatíve</w:t>
      </w:r>
      <w:r>
        <w:rPr>
          <w:sz w:val="20"/>
          <w:szCs w:val="20"/>
        </w:rPr>
        <w:t xml:space="preserve"> nagy potenciált (termőtalaj, élővizek, termálvíz, védett természeti értékek stb..) Hazánkban már </w:t>
      </w:r>
      <w:r>
        <w:rPr>
          <w:b/>
          <w:sz w:val="20"/>
          <w:szCs w:val="20"/>
        </w:rPr>
        <w:t>létez</w:t>
      </w:r>
      <w:r>
        <w:rPr>
          <w:b/>
          <w:sz w:val="20"/>
          <w:szCs w:val="20"/>
        </w:rPr>
        <w:t>ik a Nemzeti Fenntartható Fejlődési Stratégia</w:t>
      </w:r>
      <w:r>
        <w:rPr>
          <w:sz w:val="20"/>
          <w:szCs w:val="20"/>
        </w:rPr>
        <w:t xml:space="preserve">, a </w:t>
      </w:r>
      <w:r>
        <w:rPr>
          <w:b/>
          <w:sz w:val="20"/>
          <w:szCs w:val="20"/>
        </w:rPr>
        <w:t xml:space="preserve">Nemzeti Éghajlat-változási </w:t>
      </w:r>
      <w:r>
        <w:rPr>
          <w:b/>
          <w:color w:val="000000"/>
          <w:sz w:val="20"/>
          <w:szCs w:val="20"/>
        </w:rPr>
        <w:t>Stratégia,</w:t>
      </w:r>
      <w:r>
        <w:rPr>
          <w:color w:val="000000"/>
          <w:sz w:val="20"/>
          <w:szCs w:val="20"/>
        </w:rPr>
        <w:t xml:space="preserve"> a </w:t>
      </w:r>
      <w:r>
        <w:rPr>
          <w:rStyle w:val="fekete-folyo1"/>
          <w:rFonts w:ascii="Times New Roman" w:hAnsi="Times New Roman"/>
          <w:b/>
          <w:color w:val="000000"/>
          <w:sz w:val="20"/>
          <w:szCs w:val="20"/>
        </w:rPr>
        <w:t xml:space="preserve">Nemzeti Fenntartható Fejlődés Tanácsa </w:t>
      </w:r>
      <w:r>
        <w:rPr>
          <w:rStyle w:val="fekete-folyo1"/>
          <w:rFonts w:ascii="Times New Roman" w:hAnsi="Times New Roman"/>
          <w:color w:val="000000"/>
          <w:sz w:val="20"/>
          <w:szCs w:val="20"/>
        </w:rPr>
        <w:t>(ez utóbbi kettőt az Országgyűlés egyhangú szavazással támogatta!). A Nemzeti Fenntartható Fejlődés Tanácsa</w:t>
      </w:r>
      <w:r>
        <w:rPr>
          <w:color w:val="000000"/>
          <w:sz w:val="20"/>
          <w:szCs w:val="20"/>
        </w:rPr>
        <w:t xml:space="preserve"> tagjai között ott van</w:t>
      </w:r>
      <w:r>
        <w:rPr>
          <w:color w:val="000000"/>
          <w:sz w:val="20"/>
          <w:szCs w:val="20"/>
        </w:rPr>
        <w:t>nak a parlamenti pártok szakpolitikusai, a</w:t>
      </w:r>
      <w:r>
        <w:rPr>
          <w:sz w:val="20"/>
          <w:szCs w:val="20"/>
        </w:rPr>
        <w:t xml:space="preserve"> munkáltatók és munkaadók, a szakszervezetek, </w:t>
      </w:r>
      <w:r>
        <w:rPr>
          <w:color w:val="000000"/>
          <w:sz w:val="20"/>
          <w:szCs w:val="20"/>
        </w:rPr>
        <w:t>a civil szervezetek, az egyházak és a tudomány képviselői is.</w:t>
      </w:r>
      <w:r>
        <w:rPr>
          <w:rStyle w:val="fekete-folyo1"/>
          <w:rFonts w:ascii="Times New Roman" w:hAnsi="Times New Roman"/>
          <w:color w:val="000000"/>
          <w:sz w:val="20"/>
          <w:szCs w:val="20"/>
        </w:rPr>
        <w:t xml:space="preserve"> Ugyancsak létezik</w:t>
      </w:r>
      <w:r>
        <w:rPr>
          <w:rStyle w:val="fekete-folyo1"/>
          <w:rFonts w:ascii="Times New Roman" w:hAnsi="Times New Roman"/>
          <w:b/>
          <w:color w:val="000000"/>
          <w:sz w:val="20"/>
          <w:szCs w:val="20"/>
        </w:rPr>
        <w:t xml:space="preserve"> a</w:t>
      </w:r>
      <w:r>
        <w:rPr>
          <w:rStyle w:val="fekete-folyo1"/>
          <w:rFonts w:cs="Arial"/>
          <w:sz w:val="20"/>
          <w:szCs w:val="20"/>
        </w:rPr>
        <w:t xml:space="preserve"> </w:t>
      </w:r>
      <w:r>
        <w:rPr>
          <w:b/>
          <w:sz w:val="20"/>
          <w:szCs w:val="20"/>
        </w:rPr>
        <w:t>Magyarországi Üzleti Tanács a Fenntartható Fejlődésért (BCSDH</w:t>
      </w:r>
      <w:r>
        <w:rPr>
          <w:b/>
          <w:color w:val="333333"/>
          <w:sz w:val="20"/>
          <w:szCs w:val="20"/>
        </w:rPr>
        <w:t>),</w:t>
      </w:r>
      <w:r>
        <w:rPr>
          <w:sz w:val="20"/>
          <w:szCs w:val="20"/>
        </w:rPr>
        <w:t xml:space="preserve"> de </w:t>
      </w:r>
      <w:r>
        <w:rPr>
          <w:b/>
          <w:sz w:val="20"/>
          <w:szCs w:val="20"/>
        </w:rPr>
        <w:t>a feladatok gyakorl</w:t>
      </w:r>
      <w:r>
        <w:rPr>
          <w:b/>
          <w:sz w:val="20"/>
          <w:szCs w:val="20"/>
        </w:rPr>
        <w:t>ati megvalósítása még előttünk áll.</w:t>
      </w:r>
      <w:r>
        <w:rPr>
          <w:sz w:val="20"/>
          <w:szCs w:val="20"/>
        </w:rPr>
        <w:t xml:space="preserve"> Ezért szükséges akár számos olyan kompetencia központ, amely innovációs transzfer, tudásmegosztó szerepével a megoldások megvalósításának élére áll, ami túlmutat a regionális szerepkörön is. Alapvetően agrár- és közgazda</w:t>
      </w:r>
      <w:r>
        <w:rPr>
          <w:sz w:val="20"/>
          <w:szCs w:val="20"/>
        </w:rPr>
        <w:t xml:space="preserve">sági profilú intézményünk – a Károly Róbert Főiskola - azért vállalkozott egy ilyen központ létrehozására és működtetésére, mert a felmerülő hatások, problémák jelentős köréhez kapcsolódik a </w:t>
      </w:r>
      <w:r>
        <w:rPr>
          <w:b/>
          <w:sz w:val="20"/>
          <w:szCs w:val="20"/>
        </w:rPr>
        <w:t>válaszokban</w:t>
      </w:r>
      <w:r>
        <w:rPr>
          <w:sz w:val="20"/>
          <w:szCs w:val="20"/>
        </w:rPr>
        <w:t xml:space="preserve">, a </w:t>
      </w:r>
      <w:r>
        <w:rPr>
          <w:b/>
          <w:sz w:val="20"/>
          <w:szCs w:val="20"/>
        </w:rPr>
        <w:t>felkészülésben, a megelőzésben, a kárcsökkentésben</w:t>
      </w:r>
      <w:r>
        <w:rPr>
          <w:b/>
          <w:sz w:val="20"/>
          <w:szCs w:val="20"/>
        </w:rPr>
        <w:t xml:space="preserve"> és a helyreállításban </w:t>
      </w:r>
      <w:r>
        <w:rPr>
          <w:sz w:val="20"/>
          <w:szCs w:val="20"/>
        </w:rPr>
        <w:t>egyaránt (nem utolsó sorban bizonyított is már ezen a területen)</w:t>
      </w:r>
    </w:p>
    <w:p w:rsidR="00000000" w:rsidRDefault="00600913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000000" w:rsidRDefault="0060091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Fontos része ennek a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feladatsornak a társadalom és a gazdaság minél szélesebb rétegeivel történő </w:t>
      </w:r>
      <w:r>
        <w:rPr>
          <w:b/>
          <w:sz w:val="20"/>
          <w:szCs w:val="20"/>
        </w:rPr>
        <w:t>intenzív kommunikáció</w:t>
      </w:r>
      <w:r>
        <w:rPr>
          <w:sz w:val="20"/>
          <w:szCs w:val="20"/>
        </w:rPr>
        <w:t>, amely eszköz annak érdekében, hogy egy nemzetga</w:t>
      </w:r>
      <w:r>
        <w:rPr>
          <w:sz w:val="20"/>
          <w:szCs w:val="20"/>
        </w:rPr>
        <w:t>zdaságilag fontos „termék és szolgáltatás családot” bevezessünk egy olyan piacon, ahol az ilyen jellegű kínálat elvileg széleskörű, gyakorlatilag viszont a társadalomban nagy a tájékozatlanság. Reprezentatív lakossági és gazdálkodói felméréseink (2007., 20</w:t>
      </w:r>
      <w:r>
        <w:rPr>
          <w:sz w:val="20"/>
          <w:szCs w:val="20"/>
        </w:rPr>
        <w:t xml:space="preserve">08.) kimutatták, hogy például a megújuló energiákról a gazdálkodók mintegy 38%-a hallott egyáltalán, illetve 16%-a nézett már utána alaposabban. Miközben a lakosság 72%-a fontosnak és perspektivikusnak tartja azokat. </w:t>
      </w:r>
      <w:r>
        <w:rPr>
          <w:i/>
          <w:sz w:val="20"/>
          <w:szCs w:val="20"/>
        </w:rPr>
        <w:t>(Dinya L</w:t>
      </w:r>
      <w:r>
        <w:rPr>
          <w:i/>
          <w:sz w:val="20"/>
          <w:szCs w:val="20"/>
          <w:vertAlign w:val="superscript"/>
        </w:rPr>
        <w:t>1</w:t>
      </w:r>
      <w:proofErr w:type="gramStart"/>
      <w:r>
        <w:rPr>
          <w:i/>
          <w:sz w:val="20"/>
          <w:szCs w:val="20"/>
        </w:rPr>
        <w:t>.,</w:t>
      </w:r>
      <w:proofErr w:type="gramEnd"/>
      <w:r>
        <w:rPr>
          <w:i/>
          <w:sz w:val="20"/>
          <w:szCs w:val="20"/>
        </w:rPr>
        <w:t xml:space="preserve"> 2008.)</w:t>
      </w:r>
      <w:r>
        <w:rPr>
          <w:sz w:val="20"/>
          <w:szCs w:val="20"/>
        </w:rPr>
        <w:t xml:space="preserve"> </w:t>
      </w:r>
    </w:p>
    <w:p w:rsidR="00000000" w:rsidRDefault="0060091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00000" w:rsidRDefault="00600913">
      <w:pP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 fenntartható ene</w:t>
      </w:r>
      <w:r>
        <w:rPr>
          <w:b/>
          <w:color w:val="000000"/>
          <w:sz w:val="20"/>
          <w:szCs w:val="20"/>
        </w:rPr>
        <w:t>rgiagazdálkodás és a bioenergetika</w:t>
      </w:r>
    </w:p>
    <w:p w:rsidR="00000000" w:rsidRDefault="00600913">
      <w:pPr>
        <w:spacing w:before="120" w:after="12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A biomassza alapú energiatermelés (bioenergetika) helyzetképének kialakításánál kiindulópontul vettük </w:t>
      </w:r>
      <w:r>
        <w:rPr>
          <w:sz w:val="20"/>
          <w:szCs w:val="20"/>
        </w:rPr>
        <w:t xml:space="preserve">a </w:t>
      </w:r>
      <w:r>
        <w:rPr>
          <w:sz w:val="20"/>
          <w:szCs w:val="20"/>
        </w:rPr>
        <w:t xml:space="preserve">gyöngyösi Károly Róbert Főiskola keretében mintegy évtizedes kutatómunkával létrehozott, hazai és nemzetközi ismeretanyagot egyaránt koncentráló, bioenergetikai </w:t>
      </w:r>
      <w:r>
        <w:rPr>
          <w:b/>
          <w:sz w:val="20"/>
          <w:szCs w:val="20"/>
        </w:rPr>
        <w:t>tudásbázist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(Dinya L</w:t>
      </w:r>
      <w:r>
        <w:rPr>
          <w:i/>
          <w:sz w:val="20"/>
          <w:szCs w:val="20"/>
          <w:vertAlign w:val="superscript"/>
        </w:rPr>
        <w:t>2</w:t>
      </w:r>
      <w:proofErr w:type="gramStart"/>
      <w:r>
        <w:rPr>
          <w:i/>
          <w:sz w:val="20"/>
          <w:szCs w:val="20"/>
        </w:rPr>
        <w:t>.,</w:t>
      </w:r>
      <w:proofErr w:type="gramEnd"/>
      <w:r>
        <w:rPr>
          <w:i/>
          <w:sz w:val="20"/>
          <w:szCs w:val="20"/>
        </w:rPr>
        <w:t xml:space="preserve"> 2009.) </w:t>
      </w:r>
      <w:r>
        <w:rPr>
          <w:sz w:val="20"/>
          <w:szCs w:val="20"/>
        </w:rPr>
        <w:t>Bioenergetikai hálózatszervező kutatásaink tapasztalataira támas</w:t>
      </w:r>
      <w:r>
        <w:rPr>
          <w:sz w:val="20"/>
          <w:szCs w:val="20"/>
        </w:rPr>
        <w:t xml:space="preserve">zkodva fontosnak tartjuk hangsúlyozni a </w:t>
      </w:r>
      <w:r>
        <w:rPr>
          <w:b/>
          <w:sz w:val="20"/>
          <w:szCs w:val="20"/>
        </w:rPr>
        <w:t xml:space="preserve">rendszer- és fenntarthatósági szemléletű </w:t>
      </w:r>
      <w:r>
        <w:rPr>
          <w:sz w:val="20"/>
          <w:szCs w:val="20"/>
        </w:rPr>
        <w:t>megközelítést:</w:t>
      </w:r>
    </w:p>
    <w:p w:rsidR="00000000" w:rsidRDefault="00600913">
      <w:pPr>
        <w:jc w:val="both"/>
        <w:rPr>
          <w:sz w:val="20"/>
          <w:szCs w:val="20"/>
        </w:rPr>
      </w:pPr>
    </w:p>
    <w:p w:rsidR="00000000" w:rsidRDefault="00600913">
      <w:pPr>
        <w:numPr>
          <w:ilvl w:val="0"/>
          <w:numId w:val="2"/>
        </w:numPr>
        <w:jc w:val="both"/>
        <w:rPr>
          <w:b/>
          <w:color w:val="000000"/>
          <w:sz w:val="20"/>
          <w:szCs w:val="20"/>
        </w:rPr>
      </w:pPr>
      <w:r>
        <w:rPr>
          <w:sz w:val="20"/>
          <w:szCs w:val="20"/>
        </w:rPr>
        <w:t xml:space="preserve">Nem energiatermelésről, hanem </w:t>
      </w:r>
      <w:r>
        <w:rPr>
          <w:b/>
          <w:sz w:val="20"/>
          <w:szCs w:val="20"/>
        </w:rPr>
        <w:t>energiagazdálkodásról</w:t>
      </w:r>
      <w:r>
        <w:rPr>
          <w:sz w:val="20"/>
          <w:szCs w:val="20"/>
        </w:rPr>
        <w:t xml:space="preserve">, és nem gazdasági, vagy műszaki, hanem </w:t>
      </w:r>
      <w:r>
        <w:rPr>
          <w:b/>
          <w:sz w:val="20"/>
          <w:szCs w:val="20"/>
        </w:rPr>
        <w:t>fenntarthatósági</w:t>
      </w:r>
      <w:r>
        <w:rPr>
          <w:sz w:val="20"/>
          <w:szCs w:val="20"/>
        </w:rPr>
        <w:t xml:space="preserve"> (sustainability) kérdésről kell beszélnünk.</w:t>
      </w:r>
    </w:p>
    <w:p w:rsidR="00000000" w:rsidRDefault="00600913">
      <w:pPr>
        <w:numPr>
          <w:ilvl w:val="0"/>
          <w:numId w:val="2"/>
        </w:numPr>
        <w:jc w:val="both"/>
        <w:rPr>
          <w:b/>
          <w:color w:val="000000"/>
          <w:sz w:val="20"/>
          <w:szCs w:val="20"/>
        </w:rPr>
      </w:pPr>
      <w:r>
        <w:rPr>
          <w:sz w:val="20"/>
          <w:szCs w:val="20"/>
        </w:rPr>
        <w:t>Ebben a</w:t>
      </w:r>
      <w:r>
        <w:rPr>
          <w:sz w:val="20"/>
          <w:szCs w:val="20"/>
        </w:rPr>
        <w:t xml:space="preserve">z értelemben a rendszerbeillesztést </w:t>
      </w:r>
      <w:r>
        <w:rPr>
          <w:b/>
          <w:sz w:val="20"/>
          <w:szCs w:val="20"/>
        </w:rPr>
        <w:t>sokkal átfogóbban</w:t>
      </w:r>
      <w:r>
        <w:rPr>
          <w:sz w:val="20"/>
          <w:szCs w:val="20"/>
        </w:rPr>
        <w:t xml:space="preserve"> javasoljuk, </w:t>
      </w:r>
      <w:r>
        <w:rPr>
          <w:sz w:val="20"/>
          <w:szCs w:val="20"/>
        </w:rPr>
        <w:br/>
        <w:t xml:space="preserve">mint pusztán a biomasszára, a megújuló energiaforrásokra, vagy akár még tágabban az </w:t>
      </w:r>
      <w:r>
        <w:rPr>
          <w:sz w:val="20"/>
          <w:szCs w:val="20"/>
        </w:rPr>
        <w:br/>
        <w:t>energiastratégiára koncentrálva.</w:t>
      </w:r>
    </w:p>
    <w:p w:rsidR="00000000" w:rsidRDefault="00600913">
      <w:pPr>
        <w:numPr>
          <w:ilvl w:val="0"/>
          <w:numId w:val="2"/>
        </w:numPr>
        <w:jc w:val="both"/>
        <w:rPr>
          <w:b/>
          <w:color w:val="000000"/>
          <w:sz w:val="20"/>
          <w:szCs w:val="20"/>
        </w:rPr>
      </w:pPr>
      <w:r>
        <w:rPr>
          <w:sz w:val="20"/>
          <w:szCs w:val="20"/>
        </w:rPr>
        <w:t>Javasoljuk a fenntartható fejlődésbe illesztve tárgyalni a kérdést, így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fenntartható energiagazdálkodásról kell beszélnünk. </w:t>
      </w:r>
      <w:r>
        <w:rPr>
          <w:sz w:val="20"/>
          <w:szCs w:val="20"/>
        </w:rPr>
        <w:t>Ennek egyaránt része az energiatakarékosság (energiahasznosítás), a klasszikus energiaforrásokra alapuló tiszta és hatékony technológiák, a megújuló források – köztük a biomassza - bevonása, a logisztika</w:t>
      </w:r>
      <w:r>
        <w:rPr>
          <w:sz w:val="20"/>
          <w:szCs w:val="20"/>
        </w:rPr>
        <w:t>i rendszer átalakítása (pl. energiatárolás, „intelligens” osztott energiarendszer létrehozása), a jogi-szabályozási környezet (pl. támogatások rendszere)</w:t>
      </w:r>
      <w:r>
        <w:rPr>
          <w:sz w:val="20"/>
          <w:szCs w:val="20"/>
        </w:rPr>
        <w:t>, és az érdekelt szereplők (társadalmi - ökológiai – üzleti érdekeltek) integrációja.</w:t>
      </w:r>
    </w:p>
    <w:p w:rsidR="00000000" w:rsidRDefault="00600913">
      <w:pPr>
        <w:jc w:val="both"/>
        <w:rPr>
          <w:b/>
          <w:color w:val="000000"/>
          <w:sz w:val="20"/>
          <w:szCs w:val="20"/>
        </w:rPr>
      </w:pPr>
    </w:p>
    <w:p w:rsidR="00000000" w:rsidRDefault="00600913">
      <w:pPr>
        <w:jc w:val="both"/>
        <w:rPr>
          <w:rFonts w:cs="TimesNewRoman"/>
          <w:i/>
          <w:sz w:val="20"/>
          <w:szCs w:val="20"/>
        </w:rPr>
      </w:pPr>
      <w:r>
        <w:rPr>
          <w:rFonts w:cs="TimesNewRoman"/>
          <w:sz w:val="20"/>
          <w:szCs w:val="20"/>
        </w:rPr>
        <w:t>A vázolt megközelítésből kiindulva célszerű a köztudatban gyakran szinonimaként használt fogalmakat elkülöníteni, és ha lehet, egymáshoz való viszonyukat is tisztázni. A</w:t>
      </w:r>
      <w:r>
        <w:rPr>
          <w:rFonts w:cs="TimesNewRoman"/>
          <w:sz w:val="20"/>
          <w:szCs w:val="20"/>
        </w:rPr>
        <w:t xml:space="preserve"> következő – egyre gyakrabban használt – fogalmak tartoznak ide: (</w:t>
      </w:r>
      <w:r>
        <w:rPr>
          <w:rFonts w:cs="TimesNewRoman"/>
          <w:b/>
          <w:sz w:val="20"/>
          <w:szCs w:val="20"/>
        </w:rPr>
        <w:t>1. ábra</w:t>
      </w:r>
      <w:r>
        <w:rPr>
          <w:rFonts w:cs="TimesNewRoman"/>
          <w:sz w:val="20"/>
          <w:szCs w:val="20"/>
        </w:rPr>
        <w:t xml:space="preserve">) </w:t>
      </w:r>
      <w:r>
        <w:rPr>
          <w:rFonts w:cs="TimesNewRoman"/>
          <w:i/>
          <w:sz w:val="20"/>
          <w:szCs w:val="20"/>
        </w:rPr>
        <w:t>(Dinya L. 2007.)</w:t>
      </w:r>
    </w:p>
    <w:p w:rsidR="00000000" w:rsidRDefault="00600913">
      <w:pPr>
        <w:jc w:val="both"/>
        <w:rPr>
          <w:b/>
          <w:sz w:val="20"/>
          <w:szCs w:val="20"/>
        </w:rPr>
      </w:pPr>
    </w:p>
    <w:p w:rsidR="00000000" w:rsidRDefault="00600913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b/>
          <w:bCs w:val="0"/>
          <w:sz w:val="20"/>
          <w:szCs w:val="20"/>
        </w:rPr>
        <w:t>Fenntartható fejlődés</w:t>
      </w:r>
      <w:r>
        <w:rPr>
          <w:bCs w:val="0"/>
          <w:sz w:val="20"/>
          <w:szCs w:val="20"/>
        </w:rPr>
        <w:t xml:space="preserve">: </w:t>
      </w:r>
      <w:r>
        <w:rPr>
          <w:iCs/>
          <w:sz w:val="20"/>
          <w:szCs w:val="20"/>
        </w:rPr>
        <w:t>„olyan fejlődés, amely kielégíti a jelen szükségleteit, anélkül, hogy veszélyeztetné a jövő nemzedékek szükségleteinek kielégítését "</w:t>
      </w:r>
      <w:r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ami </w:t>
      </w:r>
      <w:r>
        <w:rPr>
          <w:sz w:val="20"/>
          <w:szCs w:val="20"/>
        </w:rPr>
        <w:t>tehát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messze több a gazdasági növekedésnél, mert integrálja a társadalmi, ökológiai és gazdasági szempontokat is.</w:t>
      </w:r>
    </w:p>
    <w:p w:rsidR="00000000" w:rsidRDefault="00600913">
      <w:pPr>
        <w:numPr>
          <w:ilvl w:val="0"/>
          <w:numId w:val="6"/>
        </w:numPr>
        <w:jc w:val="both"/>
        <w:rPr>
          <w:b/>
          <w:i/>
          <w:iCs/>
          <w:sz w:val="20"/>
          <w:szCs w:val="20"/>
        </w:rPr>
      </w:pPr>
      <w:r>
        <w:rPr>
          <w:b/>
          <w:bCs w:val="0"/>
          <w:sz w:val="20"/>
          <w:szCs w:val="20"/>
        </w:rPr>
        <w:t xml:space="preserve">Fenntartható energiagazdálkodás: </w:t>
      </w:r>
      <w:r>
        <w:rPr>
          <w:iCs/>
          <w:sz w:val="20"/>
          <w:szCs w:val="20"/>
        </w:rPr>
        <w:t>„az energiatermelés – tárolás – szállítás – felhasználás komplex folyamatának (vertikumának) társadalmi – gaz</w:t>
      </w:r>
      <w:r>
        <w:rPr>
          <w:iCs/>
          <w:sz w:val="20"/>
          <w:szCs w:val="20"/>
        </w:rPr>
        <w:t>dasági – ökológiai szempontokat integráló megvalósítása” – a klasszikus energiagazdálkodás fenntartha</w:t>
      </w:r>
      <w:r>
        <w:rPr>
          <w:iCs/>
          <w:sz w:val="20"/>
          <w:szCs w:val="20"/>
        </w:rPr>
        <w:t>tó fejlődésbe illeszkedő átalakítása.</w:t>
      </w:r>
    </w:p>
    <w:p w:rsidR="00000000" w:rsidRDefault="00600913">
      <w:pPr>
        <w:numPr>
          <w:ilvl w:val="0"/>
          <w:numId w:val="7"/>
        </w:numPr>
        <w:jc w:val="both"/>
        <w:rPr>
          <w:b/>
          <w:bCs w:val="0"/>
          <w:i/>
          <w:iCs/>
          <w:sz w:val="20"/>
          <w:szCs w:val="20"/>
        </w:rPr>
      </w:pPr>
      <w:r>
        <w:rPr>
          <w:b/>
          <w:bCs w:val="0"/>
          <w:sz w:val="20"/>
          <w:szCs w:val="20"/>
        </w:rPr>
        <w:t xml:space="preserve">Ökoenergetika: </w:t>
      </w:r>
      <w:r>
        <w:rPr>
          <w:iCs/>
          <w:sz w:val="20"/>
          <w:szCs w:val="20"/>
        </w:rPr>
        <w:t>„a megújuló erőforrásokra alapuló energia-vertikum tevékenységeinek rendszere” – csak a megújuló és a megújítható energiaforrások tartoznak ennek a körébe.</w:t>
      </w:r>
      <w:r>
        <w:rPr>
          <w:b/>
          <w:i/>
          <w:iCs/>
          <w:sz w:val="20"/>
          <w:szCs w:val="20"/>
        </w:rPr>
        <w:t xml:space="preserve"> </w:t>
      </w:r>
    </w:p>
    <w:p w:rsidR="00000000" w:rsidRDefault="00600913">
      <w:pPr>
        <w:numPr>
          <w:ilvl w:val="0"/>
          <w:numId w:val="8"/>
        </w:numPr>
        <w:jc w:val="both"/>
        <w:rPr>
          <w:b/>
          <w:bCs w:val="0"/>
          <w:sz w:val="20"/>
          <w:szCs w:val="20"/>
        </w:rPr>
      </w:pPr>
      <w:r>
        <w:rPr>
          <w:b/>
          <w:bCs w:val="0"/>
          <w:sz w:val="20"/>
          <w:szCs w:val="20"/>
        </w:rPr>
        <w:t>Bioenergetika:</w:t>
      </w:r>
    </w:p>
    <w:p w:rsidR="00000000" w:rsidRDefault="00600913">
      <w:pPr>
        <w:numPr>
          <w:ilvl w:val="1"/>
          <w:numId w:val="8"/>
        </w:numPr>
        <w:jc w:val="both"/>
        <w:rPr>
          <w:iCs/>
          <w:sz w:val="20"/>
          <w:szCs w:val="20"/>
        </w:rPr>
      </w:pPr>
      <w:r>
        <w:rPr>
          <w:bCs w:val="0"/>
          <w:sz w:val="20"/>
          <w:szCs w:val="20"/>
        </w:rPr>
        <w:t xml:space="preserve">klasszikus értelmezésben: </w:t>
      </w:r>
      <w:r>
        <w:rPr>
          <w:iCs/>
          <w:sz w:val="20"/>
          <w:szCs w:val="20"/>
        </w:rPr>
        <w:t>„az é</w:t>
      </w:r>
      <w:r>
        <w:rPr>
          <w:iCs/>
          <w:sz w:val="20"/>
          <w:szCs w:val="20"/>
        </w:rPr>
        <w:t>lő szervezetekben történő energiaáramlás tanulmányozása” – valamikor a biológia egy részterületeként jelent meg.</w:t>
      </w:r>
    </w:p>
    <w:p w:rsidR="00000000" w:rsidRDefault="00600913">
      <w:pPr>
        <w:numPr>
          <w:ilvl w:val="1"/>
          <w:numId w:val="8"/>
        </w:numPr>
        <w:jc w:val="both"/>
        <w:rPr>
          <w:iCs/>
          <w:sz w:val="20"/>
          <w:szCs w:val="20"/>
        </w:rPr>
      </w:pPr>
      <w:r>
        <w:rPr>
          <w:b/>
          <w:iCs/>
          <w:sz w:val="20"/>
          <w:szCs w:val="20"/>
        </w:rPr>
        <w:t>ökoenergetikai</w:t>
      </w:r>
      <w:r>
        <w:rPr>
          <w:iCs/>
          <w:sz w:val="20"/>
          <w:szCs w:val="20"/>
        </w:rPr>
        <w:t xml:space="preserve"> értelmezésben: „a biomasszára alapuló energia-vertikum tevékenységeinek rendszere” – a megújuló energiaforrások egy speciális cs</w:t>
      </w:r>
      <w:r>
        <w:rPr>
          <w:iCs/>
          <w:sz w:val="20"/>
          <w:szCs w:val="20"/>
        </w:rPr>
        <w:t>oportjára, a megújíthatókra vonatkozik.</w:t>
      </w:r>
    </w:p>
    <w:p w:rsidR="00000000" w:rsidRDefault="00600913">
      <w:pPr>
        <w:jc w:val="both"/>
        <w:rPr>
          <w:b/>
          <w:sz w:val="20"/>
          <w:szCs w:val="20"/>
        </w:rPr>
      </w:pPr>
    </w:p>
    <w:p w:rsidR="00000000" w:rsidRDefault="00600913">
      <w:pPr>
        <w:jc w:val="both"/>
        <w:rPr>
          <w:sz w:val="20"/>
          <w:szCs w:val="20"/>
        </w:rPr>
      </w:pPr>
      <w:r>
        <w:rPr>
          <w:sz w:val="20"/>
          <w:szCs w:val="20"/>
        </w:rPr>
        <w:t>Ennek megfelelően a fenntartható energiagazdálkodás egyik fontos területe az öko-energetika, ugyanakkor a fenntartható energiagazdálkodás részeként kell kezelnünk a klasszikus (nem megújuló) energiaforrásokat is, hi</w:t>
      </w:r>
      <w:r>
        <w:rPr>
          <w:sz w:val="20"/>
          <w:szCs w:val="20"/>
        </w:rPr>
        <w:t xml:space="preserve">szen kiváltásuk belátható időtávon belül mindenféle számítás alapján lehetetlen. Mindezek után már felvázolhatjuk a </w:t>
      </w:r>
      <w:r>
        <w:rPr>
          <w:b/>
          <w:sz w:val="20"/>
          <w:szCs w:val="20"/>
        </w:rPr>
        <w:t>fenntartható energiagazdálkodás komplex rendszerét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(2. ábra),</w:t>
      </w:r>
      <w:r>
        <w:rPr>
          <w:sz w:val="20"/>
          <w:szCs w:val="20"/>
        </w:rPr>
        <w:t xml:space="preserve"> amelyben a különféle - </w:t>
      </w:r>
      <w:r>
        <w:rPr>
          <w:b/>
          <w:sz w:val="20"/>
          <w:szCs w:val="20"/>
        </w:rPr>
        <w:t>megújuló,</w:t>
      </w:r>
      <w:r>
        <w:rPr>
          <w:sz w:val="20"/>
          <w:szCs w:val="20"/>
        </w:rPr>
        <w:t xml:space="preserve"> illetve </w:t>
      </w:r>
      <w:r>
        <w:rPr>
          <w:b/>
          <w:sz w:val="20"/>
          <w:szCs w:val="20"/>
        </w:rPr>
        <w:t>kimeríthető</w:t>
      </w:r>
      <w:r>
        <w:rPr>
          <w:sz w:val="20"/>
          <w:szCs w:val="20"/>
        </w:rPr>
        <w:t xml:space="preserve"> – </w:t>
      </w:r>
      <w:r>
        <w:rPr>
          <w:b/>
          <w:sz w:val="20"/>
          <w:szCs w:val="20"/>
        </w:rPr>
        <w:t>energiaforrások</w:t>
      </w:r>
      <w:r>
        <w:rPr>
          <w:sz w:val="20"/>
          <w:szCs w:val="20"/>
        </w:rPr>
        <w:t xml:space="preserve"> mellett</w:t>
      </w:r>
      <w:r>
        <w:rPr>
          <w:sz w:val="20"/>
          <w:szCs w:val="20"/>
        </w:rPr>
        <w:t xml:space="preserve"> még számos fontos összetevő szerepel:</w:t>
      </w:r>
    </w:p>
    <w:p w:rsidR="00000000" w:rsidRDefault="00600913">
      <w:pPr>
        <w:jc w:val="both"/>
        <w:rPr>
          <w:sz w:val="20"/>
          <w:szCs w:val="20"/>
        </w:rPr>
      </w:pPr>
    </w:p>
    <w:p w:rsidR="00000000" w:rsidRDefault="00600913">
      <w:pPr>
        <w:numPr>
          <w:ilvl w:val="0"/>
          <w:numId w:val="9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„Ellátási lánc”: </w:t>
      </w:r>
      <w:r>
        <w:rPr>
          <w:sz w:val="20"/>
          <w:szCs w:val="20"/>
        </w:rPr>
        <w:t>az energiahordozók kitermelésének, feldolgozásának és az energiatermelés melléktermékeinek logisztikai feladatain túl kezelni kell az időszakos (nap-, szélenergia) valamint a szezonális (biomasszater</w:t>
      </w:r>
      <w:r>
        <w:rPr>
          <w:sz w:val="20"/>
          <w:szCs w:val="20"/>
        </w:rPr>
        <w:t>melés) ingadozásokat, továbbá az energiafogyasztás ingadozásainak kihívásait is. Ráadásul az ún. osztott energiahálózat kialakulása alapvetően eltérő jellemzőkkel rendelkezik, mint a mai globális, koncentrált hálózatok.</w:t>
      </w:r>
    </w:p>
    <w:p w:rsidR="00000000" w:rsidRDefault="0060091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„Energiahatékonyság”: </w:t>
      </w:r>
      <w:r>
        <w:rPr>
          <w:sz w:val="20"/>
          <w:szCs w:val="20"/>
        </w:rPr>
        <w:t>legtisztább en</w:t>
      </w:r>
      <w:r>
        <w:rPr>
          <w:sz w:val="20"/>
          <w:szCs w:val="20"/>
        </w:rPr>
        <w:t xml:space="preserve">ergia az, amit nem kell megtermelni – vagyis amit meg tudunk takarítani (az ún. „negajoule”). Kalkuláció szerint az energiatakarékossági potenciál a fejlett országokban 20-25%, a kevésbé fejlettekben – így Magyarországon is – 30-35%. </w:t>
      </w:r>
      <w:r>
        <w:rPr>
          <w:i/>
          <w:sz w:val="20"/>
          <w:szCs w:val="20"/>
        </w:rPr>
        <w:t>(</w:t>
      </w:r>
      <w:r>
        <w:rPr>
          <w:i/>
          <w:color w:val="231F20"/>
          <w:sz w:val="20"/>
          <w:szCs w:val="20"/>
        </w:rPr>
        <w:t>Greenpeace Internatio</w:t>
      </w:r>
      <w:r>
        <w:rPr>
          <w:i/>
          <w:color w:val="231F20"/>
          <w:sz w:val="20"/>
          <w:szCs w:val="20"/>
        </w:rPr>
        <w:t>nal, 2007.)</w:t>
      </w:r>
    </w:p>
    <w:p w:rsidR="00000000" w:rsidRDefault="00600913">
      <w:pPr>
        <w:numPr>
          <w:ilvl w:val="0"/>
          <w:numId w:val="9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„Játékszabályok”:</w:t>
      </w:r>
      <w:r>
        <w:rPr>
          <w:sz w:val="20"/>
          <w:szCs w:val="20"/>
        </w:rPr>
        <w:t xml:space="preserve"> ma még a </w:t>
      </w:r>
      <w:r>
        <w:rPr>
          <w:b/>
          <w:sz w:val="20"/>
          <w:szCs w:val="20"/>
        </w:rPr>
        <w:t>formális</w:t>
      </w:r>
      <w:r>
        <w:rPr>
          <w:sz w:val="20"/>
          <w:szCs w:val="20"/>
        </w:rPr>
        <w:t xml:space="preserve"> jogszabályi előírások – pénzügyi támogatások és elvonások rendszere részint hézagos, részint ellentmondásos – nemzetközi, nemzeti és helyi szinten is sok összehangolt lépésre van szükség, míg a befolyásos ellenérdekű lobbykkal szemben egy konzisztens, a f</w:t>
      </w:r>
      <w:r>
        <w:rPr>
          <w:sz w:val="20"/>
          <w:szCs w:val="20"/>
        </w:rPr>
        <w:t xml:space="preserve">enntartható energiagazdálkodást támogató játékszabályrendszer jön létre. Ugyanennek része az </w:t>
      </w:r>
      <w:r>
        <w:rPr>
          <w:b/>
          <w:sz w:val="20"/>
          <w:szCs w:val="20"/>
        </w:rPr>
        <w:t xml:space="preserve">informális </w:t>
      </w:r>
      <w:r>
        <w:rPr>
          <w:sz w:val="20"/>
          <w:szCs w:val="20"/>
        </w:rPr>
        <w:t xml:space="preserve">játékszabályok rendszere, azaz a </w:t>
      </w:r>
      <w:r>
        <w:rPr>
          <w:b/>
          <w:sz w:val="20"/>
          <w:szCs w:val="20"/>
        </w:rPr>
        <w:t>társadalmi értékrend</w:t>
      </w:r>
      <w:r>
        <w:rPr>
          <w:sz w:val="20"/>
          <w:szCs w:val="20"/>
        </w:rPr>
        <w:t xml:space="preserve"> (energiafogyasztási szokások), amelynek megváltoztatása nélkül vajmi kevés az esély fenntartható e</w:t>
      </w:r>
      <w:r>
        <w:rPr>
          <w:sz w:val="20"/>
          <w:szCs w:val="20"/>
        </w:rPr>
        <w:t>nergiagazdálkodásra.</w:t>
      </w:r>
    </w:p>
    <w:p w:rsidR="00000000" w:rsidRDefault="00600913">
      <w:pPr>
        <w:numPr>
          <w:ilvl w:val="0"/>
          <w:numId w:val="9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„Integrált értéklánc”: </w:t>
      </w:r>
      <w:r>
        <w:rPr>
          <w:sz w:val="20"/>
          <w:szCs w:val="20"/>
        </w:rPr>
        <w:t>a fenntarthatóság csak akkor valósulhat meg, ha az energetikai ágazat (és általában a komplett gazdaság) szereplőinek összetett értékalkotó tevékenységében (az ún. „értékláncban”) integráltan kapcsolódnak a primer és a szekunder energiatermelés, valamint a</w:t>
      </w:r>
      <w:r>
        <w:rPr>
          <w:sz w:val="20"/>
          <w:szCs w:val="20"/>
        </w:rPr>
        <w:t xml:space="preserve">z energiafogyasztás szereplői. </w:t>
      </w:r>
    </w:p>
    <w:p w:rsidR="00000000" w:rsidRDefault="00600913">
      <w:pPr>
        <w:jc w:val="both"/>
        <w:rPr>
          <w:sz w:val="20"/>
          <w:szCs w:val="20"/>
        </w:rPr>
      </w:pPr>
    </w:p>
    <w:p w:rsidR="00000000" w:rsidRDefault="0060091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Mindegyik tényező szerepéről, összetevőiről hosszan lehetne értekezni, de talán ilyen rövid leírásban is érzékelhető: a fenntartható energiagazdálkodás rendszere nagyon </w:t>
      </w:r>
      <w:r>
        <w:rPr>
          <w:b/>
          <w:sz w:val="20"/>
          <w:szCs w:val="20"/>
        </w:rPr>
        <w:t>komplex</w:t>
      </w:r>
      <w:r>
        <w:rPr>
          <w:sz w:val="20"/>
          <w:szCs w:val="20"/>
        </w:rPr>
        <w:t>, megvalósítása pedig csak hosszú távon és glob</w:t>
      </w:r>
      <w:r>
        <w:rPr>
          <w:sz w:val="20"/>
          <w:szCs w:val="20"/>
        </w:rPr>
        <w:t xml:space="preserve">álisan </w:t>
      </w:r>
      <w:r>
        <w:rPr>
          <w:b/>
          <w:sz w:val="20"/>
          <w:szCs w:val="20"/>
        </w:rPr>
        <w:t>összehangolt erőfeszítéssel</w:t>
      </w:r>
      <w:r>
        <w:rPr>
          <w:sz w:val="20"/>
          <w:szCs w:val="20"/>
        </w:rPr>
        <w:t xml:space="preserve"> oldható meg.</w:t>
      </w:r>
    </w:p>
    <w:p w:rsidR="00000000" w:rsidRDefault="0060091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00000" w:rsidRDefault="00600913">
      <w:pPr>
        <w:autoSpaceDE w:val="0"/>
        <w:autoSpaceDN w:val="0"/>
        <w:adjustRightInd w:val="0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Ezt követően célszerű tisztázni a </w:t>
      </w:r>
      <w:r>
        <w:rPr>
          <w:b/>
          <w:bCs w:val="0"/>
          <w:sz w:val="20"/>
          <w:szCs w:val="20"/>
        </w:rPr>
        <w:t>bioenergetika lehetséges helyét</w:t>
      </w:r>
      <w:r>
        <w:rPr>
          <w:bCs w:val="0"/>
          <w:sz w:val="20"/>
          <w:szCs w:val="20"/>
        </w:rPr>
        <w:t xml:space="preserve"> a fenntartható energiagazdálkodásban. A </w:t>
      </w:r>
      <w:r>
        <w:rPr>
          <w:b/>
          <w:bCs w:val="0"/>
          <w:sz w:val="20"/>
          <w:szCs w:val="20"/>
        </w:rPr>
        <w:t>primer energiaforrásokat</w:t>
      </w:r>
      <w:r>
        <w:rPr>
          <w:bCs w:val="0"/>
          <w:sz w:val="20"/>
          <w:szCs w:val="20"/>
        </w:rPr>
        <w:t xml:space="preserve"> két nagy csoportba oszthatjuk: meg nem újuló energiaforrás a szén, a kőolaj,</w:t>
      </w:r>
      <w:r>
        <w:rPr>
          <w:bCs w:val="0"/>
          <w:sz w:val="20"/>
          <w:szCs w:val="20"/>
        </w:rPr>
        <w:t xml:space="preserve"> a földgáz és a hasadóanyag, a megújuló energiaforrások csoportjába sorolható a nap-, a víz- és a szélenergia, illetőleg a biomasszából nyerhető energia. Az energiaforrásokat csoportosíthatjuk kimeríthetőségük szerint is: míg a nem megújuló energiaforrások</w:t>
      </w:r>
      <w:r>
        <w:rPr>
          <w:bCs w:val="0"/>
          <w:sz w:val="20"/>
          <w:szCs w:val="20"/>
        </w:rPr>
        <w:t xml:space="preserve"> kimeríthetők, addig a megújulók közül a nap és a szél nem kimeríthető, míg a biomassza ugyancsak kimeríthető, de megújítható. A primer energiaforrásokból </w:t>
      </w:r>
      <w:r>
        <w:rPr>
          <w:b/>
          <w:bCs w:val="0"/>
          <w:sz w:val="20"/>
          <w:szCs w:val="20"/>
        </w:rPr>
        <w:t>szekunder energiahordozókat</w:t>
      </w:r>
      <w:r>
        <w:rPr>
          <w:bCs w:val="0"/>
          <w:sz w:val="20"/>
          <w:szCs w:val="20"/>
        </w:rPr>
        <w:t xml:space="preserve"> állíthatunk elő, üzemanyagokat vagy villamos energiát nyerhetünk különfél</w:t>
      </w:r>
      <w:r>
        <w:rPr>
          <w:bCs w:val="0"/>
          <w:sz w:val="20"/>
          <w:szCs w:val="20"/>
        </w:rPr>
        <w:t xml:space="preserve">e energiaátalakítási eljárások eredményeként. Ezek az eljárások az átalakítás hatásfokában és környezeti hatásaiban nagymértékben különböznek egymástól. </w:t>
      </w:r>
      <w:r>
        <w:rPr>
          <w:bCs w:val="0"/>
          <w:i/>
          <w:sz w:val="20"/>
          <w:szCs w:val="20"/>
        </w:rPr>
        <w:t>(</w:t>
      </w:r>
      <w:r>
        <w:rPr>
          <w:bCs w:val="0"/>
          <w:i/>
          <w:iCs/>
          <w:sz w:val="20"/>
          <w:szCs w:val="20"/>
        </w:rPr>
        <w:t>Környezetvédelmi Lexikon</w:t>
      </w:r>
      <w:r>
        <w:rPr>
          <w:bCs w:val="0"/>
          <w:i/>
          <w:sz w:val="20"/>
          <w:szCs w:val="20"/>
        </w:rPr>
        <w:t>, 2002.)</w:t>
      </w:r>
    </w:p>
    <w:p w:rsidR="00000000" w:rsidRDefault="00600913">
      <w:pPr>
        <w:autoSpaceDE w:val="0"/>
        <w:autoSpaceDN w:val="0"/>
        <w:adjustRightInd w:val="0"/>
        <w:jc w:val="both"/>
        <w:rPr>
          <w:bCs w:val="0"/>
          <w:sz w:val="20"/>
          <w:szCs w:val="20"/>
        </w:rPr>
      </w:pPr>
    </w:p>
    <w:p w:rsidR="00000000" w:rsidRDefault="00600913">
      <w:pPr>
        <w:autoSpaceDE w:val="0"/>
        <w:autoSpaceDN w:val="0"/>
        <w:adjustRightInd w:val="0"/>
        <w:jc w:val="both"/>
        <w:rPr>
          <w:bCs w:val="0"/>
          <w:i/>
          <w:sz w:val="20"/>
          <w:szCs w:val="20"/>
        </w:rPr>
      </w:pPr>
      <w:r>
        <w:rPr>
          <w:bCs w:val="0"/>
          <w:sz w:val="20"/>
          <w:szCs w:val="20"/>
        </w:rPr>
        <w:t xml:space="preserve">A </w:t>
      </w:r>
      <w:r>
        <w:rPr>
          <w:b/>
          <w:bCs w:val="0"/>
          <w:sz w:val="20"/>
          <w:szCs w:val="20"/>
        </w:rPr>
        <w:t>biomassza</w:t>
      </w:r>
      <w:r>
        <w:rPr>
          <w:bCs w:val="0"/>
          <w:sz w:val="20"/>
          <w:szCs w:val="20"/>
        </w:rPr>
        <w:t xml:space="preserve"> tehát </w:t>
      </w:r>
      <w:r>
        <w:rPr>
          <w:b/>
          <w:bCs w:val="0"/>
          <w:sz w:val="20"/>
          <w:szCs w:val="20"/>
        </w:rPr>
        <w:t>megújuló, de kimeríthető primer energiaforrás</w:t>
      </w:r>
      <w:r>
        <w:rPr>
          <w:bCs w:val="0"/>
          <w:sz w:val="20"/>
          <w:szCs w:val="20"/>
        </w:rPr>
        <w:t>. A b</w:t>
      </w:r>
      <w:r>
        <w:rPr>
          <w:bCs w:val="0"/>
          <w:sz w:val="20"/>
          <w:szCs w:val="20"/>
        </w:rPr>
        <w:t>iomassza biológiai eredetű szervesanyag-tömeg, egy biocönózisban vagy biomban, a szárazföldön és vízben található élő és nemrég elhalt szervezetek (növények, állatok, mikroorganizmusok) tömege; biotechnológiai iparok termékei; és a különböző transzformálók</w:t>
      </w:r>
      <w:r>
        <w:rPr>
          <w:bCs w:val="0"/>
          <w:sz w:val="20"/>
          <w:szCs w:val="20"/>
        </w:rPr>
        <w:t xml:space="preserve"> (ember, állatok, feldolgozó iparok stb.) összes biológiai eredetű terméke, hulladéka, mellékterméke. Az ember testtömegét nem szokás a biomassza fogalmába vonni. A biomassza elsődleges forrása a növények asszimilációs tevékenysége. Keletkezésének folyamat</w:t>
      </w:r>
      <w:r>
        <w:rPr>
          <w:bCs w:val="0"/>
          <w:sz w:val="20"/>
          <w:szCs w:val="20"/>
        </w:rPr>
        <w:t xml:space="preserve">a a produkcióbiológia fő témája. A növényi biomassza a fitomassza, az állati biomassza a zoomassza. A termelési-felhasználási láncban elfoglalt helyük alapján a biomassza lehet </w:t>
      </w:r>
      <w:r>
        <w:rPr>
          <w:b/>
          <w:bCs w:val="0"/>
          <w:sz w:val="20"/>
          <w:szCs w:val="20"/>
        </w:rPr>
        <w:t>elsődleges, másodlagos és harmadlagos</w:t>
      </w:r>
      <w:r>
        <w:rPr>
          <w:bCs w:val="0"/>
          <w:sz w:val="20"/>
          <w:szCs w:val="20"/>
        </w:rPr>
        <w:t>. Az elsődleges biomassza a természetes ve</w:t>
      </w:r>
      <w:r>
        <w:rPr>
          <w:bCs w:val="0"/>
          <w:sz w:val="20"/>
          <w:szCs w:val="20"/>
        </w:rPr>
        <w:t>getáció, szántóföldi növények, erdő, rét, legelő, kertészeti növények, vízben élő növények. A másodlagos biomassza az állatvilág, gazdasági haszonállatok összessége, továbbá az állattenyésztés főtermékei, melléktermékei, hulladékai. A harmadlagos biomassza</w:t>
      </w:r>
      <w:r>
        <w:rPr>
          <w:bCs w:val="0"/>
          <w:sz w:val="20"/>
          <w:szCs w:val="20"/>
        </w:rPr>
        <w:t xml:space="preserve"> a biológiai eredetű anyagokat felhasználó iparok termékei, melléktermékei, hulladékai, emberi települések szerves eredetű szerves hulladékai. </w:t>
      </w:r>
      <w:r>
        <w:rPr>
          <w:bCs w:val="0"/>
          <w:i/>
          <w:sz w:val="20"/>
          <w:szCs w:val="20"/>
        </w:rPr>
        <w:t>(Gyulai I., 2008.)</w:t>
      </w:r>
    </w:p>
    <w:p w:rsidR="00000000" w:rsidRDefault="00600913">
      <w:pPr>
        <w:autoSpaceDE w:val="0"/>
        <w:autoSpaceDN w:val="0"/>
        <w:adjustRightInd w:val="0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A </w:t>
      </w:r>
      <w:r>
        <w:rPr>
          <w:b/>
          <w:bCs w:val="0"/>
          <w:sz w:val="20"/>
          <w:szCs w:val="20"/>
        </w:rPr>
        <w:t>biomassza hasznosításának</w:t>
      </w:r>
      <w:r>
        <w:rPr>
          <w:bCs w:val="0"/>
          <w:sz w:val="20"/>
          <w:szCs w:val="20"/>
        </w:rPr>
        <w:t xml:space="preserve"> fő irányai az élelmiszertermelés, a takarmányozás, az energetikai </w:t>
      </w:r>
      <w:r>
        <w:rPr>
          <w:bCs w:val="0"/>
          <w:sz w:val="20"/>
          <w:szCs w:val="20"/>
        </w:rPr>
        <w:t xml:space="preserve">hasznosítás és az ipari termékek alapanyaggyártása. Az </w:t>
      </w:r>
      <w:r>
        <w:rPr>
          <w:b/>
          <w:bCs w:val="0"/>
          <w:sz w:val="20"/>
          <w:szCs w:val="20"/>
        </w:rPr>
        <w:t>energetikai hasznosítás</w:t>
      </w:r>
      <w:r>
        <w:rPr>
          <w:bCs w:val="0"/>
          <w:sz w:val="20"/>
          <w:szCs w:val="20"/>
        </w:rPr>
        <w:t xml:space="preserve"> közül jelentős hasznosítási mód a termokémiai, biokémiai átalakítás, illetőleg a préselés. </w:t>
      </w:r>
      <w:r>
        <w:rPr>
          <w:b/>
          <w:bCs w:val="0"/>
          <w:sz w:val="20"/>
          <w:szCs w:val="20"/>
        </w:rPr>
        <w:t>(3. ábra</w:t>
      </w:r>
      <w:r>
        <w:rPr>
          <w:bCs w:val="0"/>
          <w:sz w:val="20"/>
          <w:szCs w:val="20"/>
        </w:rPr>
        <w:t xml:space="preserve">) </w:t>
      </w:r>
      <w:r>
        <w:rPr>
          <w:bCs w:val="0"/>
          <w:i/>
          <w:sz w:val="20"/>
          <w:szCs w:val="20"/>
        </w:rPr>
        <w:t>(Dinya L.</w:t>
      </w:r>
      <w:r>
        <w:rPr>
          <w:bCs w:val="0"/>
          <w:i/>
          <w:sz w:val="20"/>
          <w:szCs w:val="20"/>
          <w:vertAlign w:val="superscript"/>
        </w:rPr>
        <w:t>1</w:t>
      </w:r>
      <w:r>
        <w:rPr>
          <w:bCs w:val="0"/>
          <w:i/>
          <w:sz w:val="20"/>
          <w:szCs w:val="20"/>
        </w:rPr>
        <w:t>, 2008.)</w:t>
      </w:r>
      <w:r>
        <w:rPr>
          <w:bCs w:val="0"/>
          <w:sz w:val="20"/>
          <w:szCs w:val="20"/>
        </w:rPr>
        <w:t xml:space="preserve"> A világ negyedik legelterjedtebb energiaforrása a szén, a</w:t>
      </w:r>
      <w:r>
        <w:rPr>
          <w:bCs w:val="0"/>
          <w:sz w:val="20"/>
          <w:szCs w:val="20"/>
        </w:rPr>
        <w:t xml:space="preserve"> kőolaj és a földgáz után a biomassza. A hagyományos és új biomassza alapú energia együtt fedezi jelenleg a </w:t>
      </w:r>
      <w:r>
        <w:rPr>
          <w:b/>
          <w:bCs w:val="0"/>
          <w:sz w:val="20"/>
          <w:szCs w:val="20"/>
        </w:rPr>
        <w:t>felhasznált energia mintegy 10%-át globálisan.</w:t>
      </w:r>
      <w:r>
        <w:rPr>
          <w:bCs w:val="0"/>
          <w:sz w:val="20"/>
          <w:szCs w:val="20"/>
        </w:rPr>
        <w:t xml:space="preserve"> </w:t>
      </w:r>
      <w:r>
        <w:rPr>
          <w:bCs w:val="0"/>
          <w:i/>
          <w:sz w:val="20"/>
          <w:szCs w:val="20"/>
        </w:rPr>
        <w:t xml:space="preserve">(IPCC, 2007.) </w:t>
      </w:r>
      <w:r>
        <w:rPr>
          <w:bCs w:val="0"/>
          <w:sz w:val="20"/>
          <w:szCs w:val="20"/>
        </w:rPr>
        <w:t>A mezőgazdasági eredetű biomassza energiaforrásokat a következő módon osztályozzuk: szi</w:t>
      </w:r>
      <w:r>
        <w:rPr>
          <w:bCs w:val="0"/>
          <w:sz w:val="20"/>
          <w:szCs w:val="20"/>
        </w:rPr>
        <w:t>lárd biomassza, folyékony bioüzemanyagok, biogáz.</w:t>
      </w:r>
    </w:p>
    <w:p w:rsidR="00000000" w:rsidRDefault="00600913">
      <w:pPr>
        <w:autoSpaceDE w:val="0"/>
        <w:autoSpaceDN w:val="0"/>
        <w:adjustRightInd w:val="0"/>
        <w:jc w:val="both"/>
        <w:rPr>
          <w:bCs w:val="0"/>
          <w:sz w:val="20"/>
          <w:szCs w:val="20"/>
        </w:rPr>
      </w:pPr>
    </w:p>
    <w:p w:rsidR="00000000" w:rsidRDefault="00600913">
      <w:pPr>
        <w:autoSpaceDE w:val="0"/>
        <w:autoSpaceDN w:val="0"/>
        <w:adjustRightInd w:val="0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Az energetikai alapanyag-termesztés területei:</w:t>
      </w:r>
    </w:p>
    <w:p w:rsidR="00000000" w:rsidRDefault="00600913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bCs w:val="0"/>
          <w:iCs/>
          <w:sz w:val="20"/>
          <w:szCs w:val="20"/>
        </w:rPr>
      </w:pPr>
      <w:r>
        <w:rPr>
          <w:bCs w:val="0"/>
          <w:iCs/>
          <w:sz w:val="20"/>
          <w:szCs w:val="20"/>
        </w:rPr>
        <w:t>Fás szárú, különböző vágásfordulójú ültetvények telepítése (akác, éger, fűz, nemes nyár stb.)</w:t>
      </w:r>
    </w:p>
    <w:p w:rsidR="00000000" w:rsidRDefault="00600913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bCs w:val="0"/>
          <w:iCs/>
          <w:sz w:val="20"/>
          <w:szCs w:val="20"/>
        </w:rPr>
      </w:pPr>
      <w:r>
        <w:rPr>
          <w:bCs w:val="0"/>
          <w:iCs/>
          <w:sz w:val="20"/>
          <w:szCs w:val="20"/>
        </w:rPr>
        <w:t>Lágy szárú növények szántóföldi termesztése (energiafű, nádfélék</w:t>
      </w:r>
      <w:r>
        <w:rPr>
          <w:bCs w:val="0"/>
          <w:iCs/>
          <w:sz w:val="20"/>
          <w:szCs w:val="20"/>
        </w:rPr>
        <w:t xml:space="preserve"> stb.)</w:t>
      </w:r>
    </w:p>
    <w:p w:rsidR="00000000" w:rsidRDefault="00600913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bCs w:val="0"/>
          <w:iCs/>
          <w:sz w:val="20"/>
          <w:szCs w:val="20"/>
        </w:rPr>
      </w:pPr>
      <w:r>
        <w:rPr>
          <w:bCs w:val="0"/>
          <w:iCs/>
          <w:sz w:val="20"/>
          <w:szCs w:val="20"/>
        </w:rPr>
        <w:t>Biodízel előállításához olajos magvú növények termesztése (napraforgó, repce stb.)</w:t>
      </w:r>
    </w:p>
    <w:p w:rsidR="00000000" w:rsidRDefault="00600913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bCs w:val="0"/>
          <w:iCs/>
          <w:sz w:val="20"/>
          <w:szCs w:val="20"/>
        </w:rPr>
      </w:pPr>
      <w:r>
        <w:rPr>
          <w:bCs w:val="0"/>
          <w:iCs/>
          <w:sz w:val="20"/>
          <w:szCs w:val="20"/>
        </w:rPr>
        <w:t>Etanol előállítására alkalmas növények termesztése (árpa, búza, kukorica stb.)</w:t>
      </w:r>
    </w:p>
    <w:p w:rsidR="00000000" w:rsidRDefault="00600913">
      <w:pPr>
        <w:autoSpaceDE w:val="0"/>
        <w:autoSpaceDN w:val="0"/>
        <w:adjustRightInd w:val="0"/>
        <w:jc w:val="both"/>
        <w:rPr>
          <w:bCs w:val="0"/>
          <w:sz w:val="20"/>
          <w:szCs w:val="20"/>
        </w:rPr>
      </w:pPr>
    </w:p>
    <w:p w:rsidR="00000000" w:rsidRDefault="00600913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bCs w:val="0"/>
          <w:sz w:val="20"/>
          <w:szCs w:val="20"/>
        </w:rPr>
        <w:t>Az energiatermelésre létrehozott kultúrákat energiaültetvényeknek nevezzük. Ezek lehet</w:t>
      </w:r>
      <w:r>
        <w:rPr>
          <w:bCs w:val="0"/>
          <w:sz w:val="20"/>
          <w:szCs w:val="20"/>
        </w:rPr>
        <w:t xml:space="preserve">nek fás szárú és lágyszárú energianövények kultúrái. </w:t>
      </w:r>
      <w:r>
        <w:rPr>
          <w:bCs w:val="0"/>
          <w:i/>
          <w:sz w:val="20"/>
          <w:szCs w:val="20"/>
        </w:rPr>
        <w:t>(Gyulai I., 2008.)</w:t>
      </w:r>
    </w:p>
    <w:p w:rsidR="00000000" w:rsidRDefault="00600913">
      <w:pPr>
        <w:jc w:val="both"/>
        <w:rPr>
          <w:b/>
          <w:color w:val="000000"/>
          <w:sz w:val="20"/>
          <w:szCs w:val="20"/>
        </w:rPr>
      </w:pPr>
    </w:p>
    <w:p w:rsidR="00000000" w:rsidRDefault="00600913">
      <w:pPr>
        <w:jc w:val="both"/>
        <w:rPr>
          <w:b/>
          <w:color w:val="000000"/>
          <w:sz w:val="20"/>
          <w:szCs w:val="20"/>
        </w:rPr>
      </w:pPr>
    </w:p>
    <w:p w:rsidR="00000000" w:rsidRDefault="00600913">
      <w:pPr>
        <w:jc w:val="both"/>
        <w:rPr>
          <w:b/>
          <w:color w:val="000000"/>
          <w:sz w:val="20"/>
          <w:szCs w:val="20"/>
        </w:rPr>
      </w:pPr>
    </w:p>
    <w:p w:rsidR="00000000" w:rsidRDefault="00600913">
      <w:pP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Bioenergetikai potenciál</w:t>
      </w:r>
    </w:p>
    <w:p w:rsidR="00000000" w:rsidRDefault="00600913">
      <w:pPr>
        <w:jc w:val="both"/>
        <w:rPr>
          <w:b/>
          <w:color w:val="000000"/>
          <w:sz w:val="20"/>
          <w:szCs w:val="20"/>
        </w:rPr>
      </w:pPr>
    </w:p>
    <w:p w:rsidR="00000000" w:rsidRDefault="00600913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Hosszú távú elemzések alapján többen úgy látják, hogy az energiahordozók váltása </w:t>
      </w:r>
      <w:r>
        <w:rPr>
          <w:b/>
          <w:color w:val="000000"/>
          <w:sz w:val="20"/>
          <w:szCs w:val="20"/>
        </w:rPr>
        <w:t>„hullámokban”</w:t>
      </w:r>
      <w:r>
        <w:rPr>
          <w:color w:val="000000"/>
          <w:sz w:val="20"/>
          <w:szCs w:val="20"/>
        </w:rPr>
        <w:t xml:space="preserve"> következik be, és most a fosszilis hullám lecsengésének peri</w:t>
      </w:r>
      <w:r>
        <w:rPr>
          <w:color w:val="000000"/>
          <w:sz w:val="20"/>
          <w:szCs w:val="20"/>
        </w:rPr>
        <w:t xml:space="preserve">ódusában vagyunk, amelyet (értelemszerűen néhány évtizednyi időszakos átfedéssel) követ a jelenleg ismert alternatív energiahordozók – beleértve a biomasszát is - korszaka, majd ezután </w:t>
      </w:r>
      <w:proofErr w:type="gramStart"/>
      <w:r>
        <w:rPr>
          <w:color w:val="000000"/>
          <w:sz w:val="20"/>
          <w:szCs w:val="20"/>
        </w:rPr>
        <w:t>jöhet(</w:t>
      </w:r>
      <w:proofErr w:type="gramEnd"/>
      <w:r>
        <w:rPr>
          <w:color w:val="000000"/>
          <w:sz w:val="20"/>
          <w:szCs w:val="20"/>
        </w:rPr>
        <w:t xml:space="preserve">ne) a ma még ismeretlennek nevezett (fúziós?) energia kora. </w:t>
      </w:r>
      <w:r>
        <w:rPr>
          <w:b/>
          <w:noProof/>
          <w:color w:val="000000"/>
          <w:sz w:val="20"/>
          <w:szCs w:val="20"/>
        </w:rPr>
        <w:pict>
          <v:line id="_x0000_s1309" style="position:absolute;left:0;text-align:left;z-index:251655680;mso-position-horizontal-relative:text;mso-position-vertical-relative:text" from="257.65pt,118.25pt" to="257.65pt,118.25pt" strokeweight="1pt">
            <v:stroke endcap="round" imagealignshape="f"/>
          </v:line>
        </w:pict>
      </w:r>
      <w:r>
        <w:rPr>
          <w:color w:val="000000"/>
          <w:sz w:val="20"/>
          <w:szCs w:val="20"/>
        </w:rPr>
        <w:t>Ebbe</w:t>
      </w:r>
      <w:r>
        <w:rPr>
          <w:color w:val="000000"/>
          <w:sz w:val="20"/>
          <w:szCs w:val="20"/>
        </w:rPr>
        <w:t xml:space="preserve">n az átmeneti korszakban egybehangzó számítások olyan globális energia-mixet prognosztizálnak, amelyben </w:t>
      </w:r>
      <w:proofErr w:type="gramStart"/>
      <w:r>
        <w:rPr>
          <w:color w:val="000000"/>
          <w:sz w:val="20"/>
          <w:szCs w:val="20"/>
        </w:rPr>
        <w:t>a(</w:t>
      </w:r>
      <w:proofErr w:type="gramEnd"/>
      <w:r>
        <w:rPr>
          <w:color w:val="000000"/>
          <w:sz w:val="20"/>
          <w:szCs w:val="20"/>
        </w:rPr>
        <w:t xml:space="preserve">z új) </w:t>
      </w:r>
      <w:r>
        <w:rPr>
          <w:b/>
          <w:color w:val="000000"/>
          <w:sz w:val="20"/>
          <w:szCs w:val="20"/>
        </w:rPr>
        <w:t>biomassza szerepét</w:t>
      </w:r>
      <w:r>
        <w:rPr>
          <w:color w:val="000000"/>
          <w:sz w:val="20"/>
          <w:szCs w:val="20"/>
        </w:rPr>
        <w:t xml:space="preserve">, részarányát hosszú távon kb. </w:t>
      </w:r>
      <w:r>
        <w:rPr>
          <w:b/>
          <w:color w:val="000000"/>
          <w:sz w:val="20"/>
          <w:szCs w:val="20"/>
        </w:rPr>
        <w:t>15%-ra teszik</w:t>
      </w:r>
      <w:r>
        <w:rPr>
          <w:color w:val="000000"/>
          <w:sz w:val="20"/>
          <w:szCs w:val="20"/>
        </w:rPr>
        <w:t xml:space="preserve">. </w:t>
      </w:r>
      <w:r>
        <w:rPr>
          <w:i/>
          <w:color w:val="000000"/>
          <w:sz w:val="20"/>
          <w:szCs w:val="20"/>
        </w:rPr>
        <w:t>(in: Dinya L</w:t>
      </w:r>
      <w:r>
        <w:rPr>
          <w:i/>
          <w:color w:val="000000"/>
          <w:sz w:val="20"/>
          <w:szCs w:val="20"/>
          <w:vertAlign w:val="superscript"/>
        </w:rPr>
        <w:t>1</w:t>
      </w:r>
      <w:proofErr w:type="gramStart"/>
      <w:r>
        <w:rPr>
          <w:i/>
          <w:color w:val="000000"/>
          <w:sz w:val="20"/>
          <w:szCs w:val="20"/>
        </w:rPr>
        <w:t>.,</w:t>
      </w:r>
      <w:proofErr w:type="gramEnd"/>
      <w:r>
        <w:rPr>
          <w:i/>
          <w:color w:val="000000"/>
          <w:sz w:val="20"/>
          <w:szCs w:val="20"/>
        </w:rPr>
        <w:t xml:space="preserve"> 2008.) </w:t>
      </w:r>
      <w:r>
        <w:rPr>
          <w:color w:val="000000"/>
          <w:sz w:val="20"/>
          <w:szCs w:val="20"/>
        </w:rPr>
        <w:t xml:space="preserve">Természetesen: </w:t>
      </w:r>
    </w:p>
    <w:p w:rsidR="00000000" w:rsidRDefault="00600913">
      <w:pPr>
        <w:jc w:val="both"/>
        <w:rPr>
          <w:color w:val="000000"/>
          <w:sz w:val="20"/>
          <w:szCs w:val="20"/>
        </w:rPr>
      </w:pPr>
    </w:p>
    <w:p w:rsidR="00000000" w:rsidRDefault="00600913">
      <w:pPr>
        <w:numPr>
          <w:ilvl w:val="0"/>
          <w:numId w:val="12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 globális energia-mix mögött ettől alap</w:t>
      </w:r>
      <w:r>
        <w:rPr>
          <w:color w:val="000000"/>
          <w:sz w:val="20"/>
          <w:szCs w:val="20"/>
        </w:rPr>
        <w:t xml:space="preserve">osan eltérő, sokféle nemzeti, regionális és </w:t>
      </w:r>
      <w:r>
        <w:rPr>
          <w:b/>
          <w:color w:val="000000"/>
          <w:sz w:val="20"/>
          <w:szCs w:val="20"/>
        </w:rPr>
        <w:t>lokális energia-mix</w:t>
      </w:r>
      <w:r>
        <w:rPr>
          <w:color w:val="000000"/>
          <w:sz w:val="20"/>
          <w:szCs w:val="20"/>
        </w:rPr>
        <w:t xml:space="preserve"> megjelenhet (beleértve a biomassza változatos súlyát is).</w:t>
      </w:r>
    </w:p>
    <w:p w:rsidR="00000000" w:rsidRDefault="00600913">
      <w:pPr>
        <w:numPr>
          <w:ilvl w:val="0"/>
          <w:numId w:val="12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Ezért a fenntartható energiagazdálkodás, és ezen belül a biomassza alapú energiatermelés hazai megvalósítása adottságaink, prioritásai</w:t>
      </w:r>
      <w:r>
        <w:rPr>
          <w:color w:val="000000"/>
          <w:sz w:val="20"/>
          <w:szCs w:val="20"/>
        </w:rPr>
        <w:t xml:space="preserve">nk mérlegelésén alapuló nemzetgazdasági szintű döntéseket – ha úgy tetszik </w:t>
      </w:r>
      <w:r>
        <w:rPr>
          <w:b/>
          <w:color w:val="000000"/>
          <w:sz w:val="20"/>
          <w:szCs w:val="20"/>
        </w:rPr>
        <w:t>fenntartható energiagazdálkodási stratégiát</w:t>
      </w:r>
      <w:r>
        <w:rPr>
          <w:color w:val="000000"/>
          <w:sz w:val="20"/>
          <w:szCs w:val="20"/>
        </w:rPr>
        <w:t xml:space="preserve">, és nem leszűkített megújuló energia, vagy akárcsak energia stratégiát – igényel. </w:t>
      </w:r>
    </w:p>
    <w:p w:rsidR="00000000" w:rsidRDefault="00600913">
      <w:pPr>
        <w:jc w:val="both"/>
        <w:rPr>
          <w:b/>
          <w:color w:val="000000"/>
          <w:sz w:val="20"/>
          <w:szCs w:val="20"/>
        </w:rPr>
      </w:pPr>
    </w:p>
    <w:p w:rsidR="00000000" w:rsidRDefault="00600913">
      <w:pPr>
        <w:jc w:val="both"/>
        <w:rPr>
          <w:i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Energetikai célra használható </w:t>
      </w:r>
      <w:r>
        <w:rPr>
          <w:b/>
          <w:color w:val="000000"/>
          <w:sz w:val="20"/>
          <w:szCs w:val="20"/>
        </w:rPr>
        <w:t>biomassza potenciálról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beszélni (de ez igaz valamennyi megújuló energiaforrásra is!) csak akkor szabad, ha tisztázzuk, hogy a többféle lehetőség közül melyik potenciálra gondolunk. Ezek egymáshoz való viszonyát mutatja a </w:t>
      </w:r>
      <w:r>
        <w:rPr>
          <w:b/>
          <w:color w:val="000000"/>
          <w:sz w:val="20"/>
          <w:szCs w:val="20"/>
        </w:rPr>
        <w:t>4. ábra</w:t>
      </w:r>
      <w:r>
        <w:rPr>
          <w:color w:val="000000"/>
          <w:sz w:val="20"/>
          <w:szCs w:val="20"/>
        </w:rPr>
        <w:t xml:space="preserve">. </w:t>
      </w:r>
      <w:r>
        <w:rPr>
          <w:i/>
          <w:color w:val="000000"/>
          <w:sz w:val="20"/>
          <w:szCs w:val="20"/>
        </w:rPr>
        <w:t xml:space="preserve">(Dinya L., 2008.) </w:t>
      </w:r>
      <w:r>
        <w:rPr>
          <w:color w:val="000000"/>
          <w:sz w:val="20"/>
          <w:szCs w:val="20"/>
        </w:rPr>
        <w:t>Köztük nagyságrendi különbségek</w:t>
      </w:r>
      <w:r>
        <w:rPr>
          <w:color w:val="000000"/>
          <w:sz w:val="20"/>
          <w:szCs w:val="20"/>
        </w:rPr>
        <w:t xml:space="preserve"> vannak: például míg a globális elméleti bioenergetikai potenciál kb. hússzor nagyobb, mint a világ jelenlegi energiaigénye, a konverziós potenciál már csak kb. 40%-át teszi ki – és akkor még messze vagyunk a fenntartható potenciáltól. </w:t>
      </w:r>
      <w:r>
        <w:rPr>
          <w:i/>
          <w:color w:val="000000"/>
          <w:sz w:val="20"/>
          <w:szCs w:val="20"/>
        </w:rPr>
        <w:t>(Greenpeace, 2007.)</w:t>
      </w:r>
    </w:p>
    <w:p w:rsidR="00000000" w:rsidRDefault="00600913">
      <w:pPr>
        <w:jc w:val="both"/>
        <w:rPr>
          <w:color w:val="000000"/>
          <w:sz w:val="20"/>
          <w:szCs w:val="20"/>
        </w:rPr>
      </w:pPr>
    </w:p>
    <w:p w:rsidR="00000000" w:rsidRDefault="00600913">
      <w:pPr>
        <w:jc w:val="both"/>
        <w:rPr>
          <w:i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 terjedelmi korlátokra tekintettel nem térünk ki a részletes számításokra, sem a számítások metodikájára, de összegezve az ismert adatokat Magyarország </w:t>
      </w:r>
      <w:r>
        <w:rPr>
          <w:b/>
          <w:color w:val="000000"/>
          <w:sz w:val="20"/>
          <w:szCs w:val="20"/>
        </w:rPr>
        <w:t>fenntartható bioenergetikai potenciáljára</w:t>
      </w:r>
      <w:r>
        <w:rPr>
          <w:color w:val="000000"/>
          <w:sz w:val="20"/>
          <w:szCs w:val="20"/>
        </w:rPr>
        <w:t xml:space="preserve"> az </w:t>
      </w:r>
      <w:r>
        <w:rPr>
          <w:b/>
          <w:color w:val="000000"/>
          <w:sz w:val="20"/>
          <w:szCs w:val="20"/>
        </w:rPr>
        <w:t>1. táblázat</w:t>
      </w:r>
      <w:r>
        <w:rPr>
          <w:color w:val="000000"/>
          <w:sz w:val="20"/>
          <w:szCs w:val="20"/>
        </w:rPr>
        <w:t xml:space="preserve"> szerinti becslések készültek </w:t>
      </w:r>
      <w:r>
        <w:rPr>
          <w:i/>
          <w:color w:val="000000"/>
          <w:sz w:val="20"/>
          <w:szCs w:val="20"/>
        </w:rPr>
        <w:t>(Dinya L</w:t>
      </w:r>
      <w:r>
        <w:rPr>
          <w:i/>
          <w:color w:val="000000"/>
          <w:sz w:val="20"/>
          <w:szCs w:val="20"/>
          <w:vertAlign w:val="superscript"/>
        </w:rPr>
        <w:t>1</w:t>
      </w:r>
      <w:proofErr w:type="gramStart"/>
      <w:r>
        <w:rPr>
          <w:i/>
          <w:color w:val="000000"/>
          <w:sz w:val="20"/>
          <w:szCs w:val="20"/>
        </w:rPr>
        <w:t>.,</w:t>
      </w:r>
      <w:proofErr w:type="gramEnd"/>
      <w:r>
        <w:rPr>
          <w:i/>
          <w:color w:val="000000"/>
          <w:sz w:val="20"/>
          <w:szCs w:val="20"/>
        </w:rPr>
        <w:t xml:space="preserve"> 2008</w:t>
      </w:r>
      <w:r>
        <w:rPr>
          <w:i/>
          <w:color w:val="000000"/>
          <w:sz w:val="20"/>
          <w:szCs w:val="20"/>
        </w:rPr>
        <w:t>.)</w:t>
      </w:r>
    </w:p>
    <w:p w:rsidR="00000000" w:rsidRDefault="00600913">
      <w:pPr>
        <w:jc w:val="both"/>
        <w:rPr>
          <w:i/>
          <w:color w:val="000000"/>
          <w:sz w:val="20"/>
          <w:szCs w:val="20"/>
        </w:rPr>
      </w:pPr>
    </w:p>
    <w:p w:rsidR="00000000" w:rsidRDefault="00600913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Az adatokból legalább két következtetés levonható:</w:t>
      </w:r>
    </w:p>
    <w:p w:rsidR="00000000" w:rsidRDefault="00600913">
      <w:pPr>
        <w:jc w:val="both"/>
        <w:rPr>
          <w:color w:val="000000"/>
          <w:sz w:val="20"/>
          <w:szCs w:val="20"/>
        </w:rPr>
      </w:pPr>
    </w:p>
    <w:p w:rsidR="00000000" w:rsidRDefault="00600913">
      <w:pPr>
        <w:numPr>
          <w:ilvl w:val="0"/>
          <w:numId w:val="13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Vannak még tisztázandó (egyeztetendő) számítási </w:t>
      </w:r>
      <w:r>
        <w:rPr>
          <w:b/>
          <w:color w:val="000000"/>
          <w:sz w:val="20"/>
          <w:szCs w:val="20"/>
        </w:rPr>
        <w:t>metodikai kérdések</w:t>
      </w:r>
      <w:r>
        <w:rPr>
          <w:color w:val="000000"/>
          <w:sz w:val="20"/>
          <w:szCs w:val="20"/>
        </w:rPr>
        <w:t>, különben nem szóródhatna ilyen széles sávban az eredmény.</w:t>
      </w:r>
    </w:p>
    <w:p w:rsidR="00000000" w:rsidRDefault="00600913">
      <w:pPr>
        <w:numPr>
          <w:ilvl w:val="0"/>
          <w:numId w:val="13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Ha – az átlag közelítéseként - elfogadjuk a két szélsőérték közötti </w:t>
      </w:r>
      <w:r>
        <w:rPr>
          <w:b/>
          <w:color w:val="000000"/>
          <w:sz w:val="20"/>
          <w:szCs w:val="20"/>
        </w:rPr>
        <w:t>FVM –b</w:t>
      </w:r>
      <w:r>
        <w:rPr>
          <w:b/>
          <w:color w:val="000000"/>
          <w:sz w:val="20"/>
          <w:szCs w:val="20"/>
        </w:rPr>
        <w:t>ecslést (260 PJ/év),</w:t>
      </w:r>
      <w:r>
        <w:rPr>
          <w:color w:val="000000"/>
          <w:sz w:val="20"/>
          <w:szCs w:val="20"/>
        </w:rPr>
        <w:t xml:space="preserve"> és tudjuk, hogy Magyarország éves energiafogyasztása belátható időn belül (2013. táján) az 1040 PJ/év értéket eléri </w:t>
      </w:r>
      <w:r>
        <w:rPr>
          <w:i/>
          <w:color w:val="000000"/>
          <w:sz w:val="20"/>
          <w:szCs w:val="20"/>
        </w:rPr>
        <w:t>(Gács I. et al</w:t>
      </w:r>
      <w:proofErr w:type="gramStart"/>
      <w:r>
        <w:rPr>
          <w:i/>
          <w:color w:val="000000"/>
          <w:sz w:val="20"/>
          <w:szCs w:val="20"/>
        </w:rPr>
        <w:t>.,</w:t>
      </w:r>
      <w:proofErr w:type="gramEnd"/>
      <w:r>
        <w:rPr>
          <w:i/>
          <w:color w:val="000000"/>
          <w:sz w:val="20"/>
          <w:szCs w:val="20"/>
        </w:rPr>
        <w:t xml:space="preserve"> 2006.),</w:t>
      </w:r>
      <w:r>
        <w:rPr>
          <w:color w:val="000000"/>
          <w:sz w:val="20"/>
          <w:szCs w:val="20"/>
        </w:rPr>
        <w:t xml:space="preserve"> akkor nem tévedünk nagyot, ha </w:t>
      </w:r>
      <w:r>
        <w:rPr>
          <w:b/>
          <w:color w:val="000000"/>
          <w:sz w:val="20"/>
          <w:szCs w:val="20"/>
        </w:rPr>
        <w:t>a biomassza maximális potenciális súlyát</w:t>
      </w:r>
      <w:r>
        <w:rPr>
          <w:color w:val="000000"/>
          <w:sz w:val="20"/>
          <w:szCs w:val="20"/>
        </w:rPr>
        <w:t xml:space="preserve"> a </w:t>
      </w:r>
      <w:r>
        <w:rPr>
          <w:b/>
          <w:color w:val="000000"/>
          <w:sz w:val="20"/>
          <w:szCs w:val="20"/>
        </w:rPr>
        <w:t xml:space="preserve">hazai energia-mixben </w:t>
      </w:r>
      <w:r>
        <w:rPr>
          <w:b/>
          <w:color w:val="000000"/>
          <w:sz w:val="20"/>
          <w:szCs w:val="20"/>
        </w:rPr>
        <w:t>kb. 20-21% értéken</w:t>
      </w:r>
      <w:r>
        <w:rPr>
          <w:color w:val="000000"/>
          <w:sz w:val="20"/>
          <w:szCs w:val="20"/>
        </w:rPr>
        <w:t xml:space="preserve"> állapítjuk meg.</w:t>
      </w:r>
    </w:p>
    <w:p w:rsidR="00000000" w:rsidRDefault="00600913">
      <w:pPr>
        <w:jc w:val="both"/>
        <w:rPr>
          <w:i/>
          <w:color w:val="000000"/>
          <w:sz w:val="20"/>
          <w:szCs w:val="20"/>
        </w:rPr>
      </w:pPr>
    </w:p>
    <w:p w:rsidR="00000000" w:rsidRDefault="00600913">
      <w:pPr>
        <w:spacing w:before="120" w:after="12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További nyitott kérdések</w:t>
      </w:r>
    </w:p>
    <w:p w:rsidR="00000000" w:rsidRDefault="00600913">
      <w:pPr>
        <w:spacing w:before="120" w:after="1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Ahhoz, hogy stratégiai távlatban tisztábban lássunk a bioenergetikai ágazat lehetőségeit – korlátait illetően a fentebb tárgyalt rendszerbe illesztés képezheti a szükséges feltételt, de az elégsé</w:t>
      </w:r>
      <w:r>
        <w:rPr>
          <w:color w:val="000000"/>
          <w:sz w:val="20"/>
          <w:szCs w:val="20"/>
        </w:rPr>
        <w:t>ges feltételhez még számos további nyitott kérdést alaposan elemezni kell. Néhány ezek közül:</w:t>
      </w:r>
    </w:p>
    <w:p w:rsidR="00000000" w:rsidRDefault="00600913">
      <w:pPr>
        <w:numPr>
          <w:ilvl w:val="0"/>
          <w:numId w:val="20"/>
        </w:numPr>
        <w:rPr>
          <w:bCs w:val="0"/>
          <w:sz w:val="20"/>
          <w:szCs w:val="20"/>
        </w:rPr>
      </w:pPr>
      <w:r>
        <w:rPr>
          <w:b/>
          <w:bCs w:val="0"/>
          <w:sz w:val="20"/>
          <w:szCs w:val="20"/>
        </w:rPr>
        <w:t>Melyek a bioenergetikai ágazat növekedési korlátai?</w:t>
      </w:r>
    </w:p>
    <w:p w:rsidR="00000000" w:rsidRDefault="00600913">
      <w:pPr>
        <w:jc w:val="both"/>
        <w:rPr>
          <w:sz w:val="20"/>
          <w:szCs w:val="20"/>
        </w:rPr>
      </w:pPr>
      <w:r>
        <w:rPr>
          <w:bCs w:val="0"/>
          <w:sz w:val="20"/>
          <w:szCs w:val="20"/>
        </w:rPr>
        <w:t>Sokan – abból kiindulva, hogy a biomassza energetikai célú kiaknázása még csak néhány %-os súllyal jelenik meg</w:t>
      </w:r>
      <w:r>
        <w:rPr>
          <w:bCs w:val="0"/>
          <w:sz w:val="20"/>
          <w:szCs w:val="20"/>
        </w:rPr>
        <w:t xml:space="preserve"> az energia-mixben – úgy vélik, hogy az ágazat gyors növekedés előtt áll. Kemény korlátok is vannak azonban, amelyekkel e téren szembesülnünk kell:</w:t>
      </w:r>
    </w:p>
    <w:p w:rsidR="00000000" w:rsidRDefault="00600913">
      <w:pPr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Logisztikai infrastruktúra hiánya (begyűjtés – szállítás –tárolás – kezelés – előkészítés – disztribúció)</w:t>
      </w:r>
    </w:p>
    <w:p w:rsidR="00000000" w:rsidRDefault="00600913">
      <w:pPr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Üt</w:t>
      </w:r>
      <w:r>
        <w:rPr>
          <w:sz w:val="20"/>
          <w:szCs w:val="20"/>
        </w:rPr>
        <w:t>köző érdekek (alternatív hasznosítás, talajvédelmi visszapótlás, ellenérdekű lobbyk)</w:t>
      </w:r>
    </w:p>
    <w:p w:rsidR="00000000" w:rsidRDefault="00600913">
      <w:pPr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Ismeretek hiánya (termelési, energetikai, piaci)</w:t>
      </w:r>
    </w:p>
    <w:p w:rsidR="00000000" w:rsidRDefault="00600913">
      <w:pPr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Technológiai kihívások (égetés, gázosítás, üzemanyaggyártás)</w:t>
      </w:r>
    </w:p>
    <w:p w:rsidR="00000000" w:rsidRDefault="00600913">
      <w:pPr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Gazdasági feltételek (tőkeigény, hálózatfejlesztés, költség-á</w:t>
      </w:r>
      <w:r>
        <w:rPr>
          <w:sz w:val="20"/>
          <w:szCs w:val="20"/>
        </w:rPr>
        <w:t>r arányok)</w:t>
      </w:r>
    </w:p>
    <w:p w:rsidR="00000000" w:rsidRDefault="00600913">
      <w:pPr>
        <w:rPr>
          <w:b/>
          <w:bCs w:val="0"/>
          <w:sz w:val="20"/>
          <w:szCs w:val="20"/>
        </w:rPr>
      </w:pPr>
    </w:p>
    <w:p w:rsidR="00000000" w:rsidRDefault="00600913">
      <w:pPr>
        <w:numPr>
          <w:ilvl w:val="1"/>
          <w:numId w:val="14"/>
        </w:numPr>
        <w:tabs>
          <w:tab w:val="clear" w:pos="1440"/>
          <w:tab w:val="num" w:pos="720"/>
        </w:tabs>
        <w:ind w:left="720"/>
        <w:rPr>
          <w:sz w:val="20"/>
          <w:szCs w:val="20"/>
        </w:rPr>
      </w:pPr>
      <w:r>
        <w:rPr>
          <w:b/>
          <w:bCs w:val="0"/>
          <w:sz w:val="20"/>
          <w:szCs w:val="20"/>
        </w:rPr>
        <w:t>Mennyiben függ össze az élelmiszerárak növekedése – a bioenergetikai ágazat növekedésével?</w:t>
      </w:r>
    </w:p>
    <w:p w:rsidR="00000000" w:rsidRDefault="00600913">
      <w:pPr>
        <w:jc w:val="both"/>
        <w:rPr>
          <w:bCs w:val="0"/>
          <w:sz w:val="20"/>
          <w:szCs w:val="20"/>
        </w:rPr>
      </w:pPr>
      <w:r>
        <w:rPr>
          <w:sz w:val="20"/>
          <w:szCs w:val="20"/>
        </w:rPr>
        <w:t>A bioüzemanyagok növekvő termelésének lehetséges következményei rendkívül megosztják a szakmai, és ennek következtében a politikai és a laikus közvélemén</w:t>
      </w:r>
      <w:r>
        <w:rPr>
          <w:sz w:val="20"/>
          <w:szCs w:val="20"/>
        </w:rPr>
        <w:t>yt is. Sokan – így egy most nyilvánosságra került világbanki jelentés is - egyértelműen ennek tulajdonítják a mezőgazdasági termékek, ebből kifolyólag pedig az élelmiszerek árainak megugrását, ami a szegény tömegek globális éhséglázadásainak rémképét is fe</w:t>
      </w:r>
      <w:r>
        <w:rPr>
          <w:sz w:val="20"/>
          <w:szCs w:val="20"/>
        </w:rPr>
        <w:t>lidézi. Mások ezt a hatást elenyészőnek ítélik meg a nagy népességű fejlődő országok élelmiszerigényének ugrásszerű növekedéséből származó árfelhajtó hatáshoz képest. Különbséget kell azonban tenni a melléktermékek, hulladékok, illetve a főtermékként bioüz</w:t>
      </w:r>
      <w:r>
        <w:rPr>
          <w:sz w:val="20"/>
          <w:szCs w:val="20"/>
        </w:rPr>
        <w:t>emanyag céljára termesztett növények között, mert az előbbiek mindenképpen keletkeznek, így feldolgozásuk kifejezetten kívánatos. És hasonlóan érvelnek, amikor parlagon levő földterületek energetikai célú termelésbe vonását említik meg (nem is beszélve a v</w:t>
      </w:r>
      <w:r>
        <w:rPr>
          <w:sz w:val="20"/>
          <w:szCs w:val="20"/>
        </w:rPr>
        <w:t>idéki munkalehetőség, jövedelemhez jutás társadalmi hasznáról). Ha még mindehhez hozzávesszük azt a közismert tényt, hogy a háttérben hatalmas, egymással konfliktusban álló üzleti, politikai érdekek, koncentrált tőkék is meghúzódnak, amelyeknek természetes</w:t>
      </w:r>
      <w:r>
        <w:rPr>
          <w:sz w:val="20"/>
          <w:szCs w:val="20"/>
        </w:rPr>
        <w:t xml:space="preserve">en megvan a maguk szakértői köre és médiabefolyása is, akkor mindez - párosulva a kétségkívül fennálló, sok-sok szakmai kérdőjellel - némi magyarázattal szolgálhat a dilemmák sokaságára, és az állásfoglalás bizonytalanságára. </w:t>
      </w:r>
      <w:r>
        <w:rPr>
          <w:bCs w:val="0"/>
          <w:sz w:val="20"/>
          <w:szCs w:val="20"/>
        </w:rPr>
        <w:t xml:space="preserve">Nemzetközi szakértők szerint </w:t>
      </w:r>
      <w:r>
        <w:rPr>
          <w:bCs w:val="0"/>
          <w:i/>
          <w:sz w:val="20"/>
          <w:szCs w:val="20"/>
        </w:rPr>
        <w:t>(</w:t>
      </w:r>
      <w:r>
        <w:rPr>
          <w:bCs w:val="0"/>
          <w:i/>
          <w:sz w:val="20"/>
          <w:szCs w:val="20"/>
        </w:rPr>
        <w:t>IEA, 2007.)</w:t>
      </w:r>
      <w:r>
        <w:rPr>
          <w:bCs w:val="0"/>
          <w:sz w:val="20"/>
          <w:szCs w:val="20"/>
        </w:rPr>
        <w:t xml:space="preserve"> az élelmiszerárak gyors növekedését előidéző tényezőket az alábbi rangsorban célszerű elhelyezni:</w:t>
      </w:r>
    </w:p>
    <w:p w:rsidR="00000000" w:rsidRDefault="00600913">
      <w:pPr>
        <w:rPr>
          <w:b/>
          <w:bCs w:val="0"/>
          <w:sz w:val="20"/>
          <w:szCs w:val="20"/>
          <w:u w:val="single"/>
        </w:rPr>
      </w:pPr>
    </w:p>
    <w:p w:rsidR="00000000" w:rsidRDefault="00600913">
      <w:pPr>
        <w:ind w:left="360" w:hanging="360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1. Alacsony termelékenység a fejlődő országokban (-25% veszteség a termőhelyen, -15% veszteség a </w:t>
      </w:r>
      <w:proofErr w:type="gramStart"/>
      <w:r>
        <w:rPr>
          <w:bCs w:val="0"/>
          <w:sz w:val="20"/>
          <w:szCs w:val="20"/>
        </w:rPr>
        <w:t>feldolgozáskor !</w:t>
      </w:r>
      <w:proofErr w:type="gramEnd"/>
      <w:r>
        <w:rPr>
          <w:bCs w:val="0"/>
          <w:sz w:val="20"/>
          <w:szCs w:val="20"/>
        </w:rPr>
        <w:t>!!)</w:t>
      </w:r>
    </w:p>
    <w:p w:rsidR="00000000" w:rsidRDefault="00600913">
      <w:pPr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2. Éghajlati sokk a fejlett </w:t>
      </w:r>
      <w:r>
        <w:rPr>
          <w:bCs w:val="0"/>
          <w:sz w:val="20"/>
          <w:szCs w:val="20"/>
        </w:rPr>
        <w:t>országokban</w:t>
      </w:r>
    </w:p>
    <w:p w:rsidR="00000000" w:rsidRDefault="00600913">
      <w:pPr>
        <w:rPr>
          <w:b/>
          <w:bCs w:val="0"/>
          <w:sz w:val="20"/>
          <w:szCs w:val="20"/>
        </w:rPr>
      </w:pPr>
      <w:r>
        <w:rPr>
          <w:b/>
          <w:bCs w:val="0"/>
          <w:sz w:val="20"/>
          <w:szCs w:val="20"/>
        </w:rPr>
        <w:t>3. Bioüzemanyag kereslet megugrása</w:t>
      </w:r>
    </w:p>
    <w:p w:rsidR="00000000" w:rsidRDefault="00600913">
      <w:pPr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4. Készletek alacsony szintje</w:t>
      </w:r>
    </w:p>
    <w:p w:rsidR="00000000" w:rsidRDefault="00600913">
      <w:pPr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5. Élelmiszerexportőrök kereskedelmi korlátozásai</w:t>
      </w:r>
    </w:p>
    <w:p w:rsidR="00000000" w:rsidRDefault="00600913">
      <w:pPr>
        <w:rPr>
          <w:b/>
          <w:bCs w:val="0"/>
          <w:sz w:val="20"/>
          <w:szCs w:val="20"/>
        </w:rPr>
      </w:pPr>
    </w:p>
    <w:p w:rsidR="00000000" w:rsidRDefault="00600913">
      <w:pPr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Véleményünk szerint ehhez még további tényezőket is társíthatunk:</w:t>
      </w:r>
    </w:p>
    <w:p w:rsidR="00000000" w:rsidRDefault="00600913">
      <w:pPr>
        <w:rPr>
          <w:b/>
          <w:bCs w:val="0"/>
          <w:sz w:val="20"/>
          <w:szCs w:val="20"/>
          <w:u w:val="single"/>
        </w:rPr>
      </w:pPr>
    </w:p>
    <w:p w:rsidR="00000000" w:rsidRDefault="00600913">
      <w:pPr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6. Olajár / energiaárak megugrása</w:t>
      </w:r>
    </w:p>
    <w:p w:rsidR="00000000" w:rsidRDefault="00600913">
      <w:pPr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7. Spekuláció</w:t>
      </w:r>
    </w:p>
    <w:p w:rsidR="00000000" w:rsidRDefault="00600913">
      <w:pPr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8. Élelmiszer</w:t>
      </w:r>
      <w:r>
        <w:rPr>
          <w:bCs w:val="0"/>
          <w:sz w:val="20"/>
          <w:szCs w:val="20"/>
        </w:rPr>
        <w:t>pazarlás a fejlett országokban (pl. USA: az élelmiszer 30 %-</w:t>
      </w:r>
      <w:proofErr w:type="gramStart"/>
      <w:r>
        <w:rPr>
          <w:bCs w:val="0"/>
          <w:sz w:val="20"/>
          <w:szCs w:val="20"/>
        </w:rPr>
        <w:t>a</w:t>
      </w:r>
      <w:proofErr w:type="gramEnd"/>
      <w:r>
        <w:rPr>
          <w:bCs w:val="0"/>
          <w:sz w:val="20"/>
          <w:szCs w:val="20"/>
        </w:rPr>
        <w:t xml:space="preserve"> a szemétben végzi)</w:t>
      </w:r>
    </w:p>
    <w:p w:rsidR="00000000" w:rsidRDefault="00600913">
      <w:pPr>
        <w:rPr>
          <w:sz w:val="20"/>
          <w:szCs w:val="20"/>
        </w:rPr>
      </w:pPr>
    </w:p>
    <w:p w:rsidR="00000000" w:rsidRDefault="0060091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Hasonló következtetésre jutnak hazai elemzők is </w:t>
      </w:r>
      <w:r>
        <w:rPr>
          <w:i/>
          <w:sz w:val="20"/>
          <w:szCs w:val="20"/>
        </w:rPr>
        <w:t>(Popp J. – Potori N</w:t>
      </w:r>
      <w:proofErr w:type="gramStart"/>
      <w:r>
        <w:rPr>
          <w:i/>
          <w:sz w:val="20"/>
          <w:szCs w:val="20"/>
        </w:rPr>
        <w:t>.,</w:t>
      </w:r>
      <w:proofErr w:type="gramEnd"/>
      <w:r>
        <w:rPr>
          <w:i/>
          <w:sz w:val="20"/>
          <w:szCs w:val="20"/>
        </w:rPr>
        <w:t xml:space="preserve"> 2008.) </w:t>
      </w:r>
      <w:r>
        <w:rPr>
          <w:sz w:val="20"/>
          <w:szCs w:val="20"/>
        </w:rPr>
        <w:t>akik az élelmiszerár-sokkot kiváltó számos tényezőt három csoportba sorolják: természeti (ökológi</w:t>
      </w:r>
      <w:r>
        <w:rPr>
          <w:sz w:val="20"/>
          <w:szCs w:val="20"/>
        </w:rPr>
        <w:t>ai és biológiai), makrogazdasági, valamint agrár- és kereskedelempolitikai tényezők.</w:t>
      </w:r>
    </w:p>
    <w:p w:rsidR="00000000" w:rsidRDefault="00600913">
      <w:pPr>
        <w:jc w:val="both"/>
        <w:rPr>
          <w:sz w:val="20"/>
          <w:szCs w:val="20"/>
        </w:rPr>
      </w:pPr>
    </w:p>
    <w:p w:rsidR="00000000" w:rsidRDefault="00600913">
      <w:pPr>
        <w:numPr>
          <w:ilvl w:val="2"/>
          <w:numId w:val="18"/>
        </w:numPr>
        <w:tabs>
          <w:tab w:val="clear" w:pos="2160"/>
          <w:tab w:val="num" w:pos="720"/>
        </w:tabs>
        <w:ind w:hanging="1800"/>
        <w:rPr>
          <w:sz w:val="20"/>
          <w:szCs w:val="20"/>
        </w:rPr>
      </w:pPr>
      <w:r>
        <w:rPr>
          <w:b/>
          <w:bCs w:val="0"/>
          <w:sz w:val="20"/>
          <w:szCs w:val="20"/>
        </w:rPr>
        <w:t>Hogyan biztosítható biomasszával az egyenletes ellátás?</w:t>
      </w:r>
    </w:p>
    <w:p w:rsidR="00000000" w:rsidRDefault="00600913">
      <w:pPr>
        <w:jc w:val="both"/>
        <w:rPr>
          <w:b/>
          <w:bCs w:val="0"/>
          <w:sz w:val="20"/>
          <w:szCs w:val="20"/>
        </w:rPr>
      </w:pPr>
      <w:r>
        <w:rPr>
          <w:bCs w:val="0"/>
          <w:sz w:val="20"/>
          <w:szCs w:val="20"/>
        </w:rPr>
        <w:t>Az energiatermelő üzemek természetesnek tartják, hogy az alapanyag folyamatosan rendelkezésre áll, mint ahogy – bi</w:t>
      </w:r>
      <w:r>
        <w:rPr>
          <w:bCs w:val="0"/>
          <w:sz w:val="20"/>
          <w:szCs w:val="20"/>
        </w:rPr>
        <w:t>zonyos hullámzással - folytonos az energiaigény is. Ugyanakkor az egyenletes ellátással szemben természeti korlátokkal kell számolnunk a megújulóknál, ezen belül a biomasszánál is:</w:t>
      </w:r>
    </w:p>
    <w:p w:rsidR="00000000" w:rsidRDefault="00600913">
      <w:pPr>
        <w:numPr>
          <w:ilvl w:val="1"/>
          <w:numId w:val="19"/>
        </w:numPr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Hozamingadozás (évjárattól függően mennyiségi és minőségi eltérések)</w:t>
      </w:r>
    </w:p>
    <w:p w:rsidR="00000000" w:rsidRDefault="00600913">
      <w:pPr>
        <w:numPr>
          <w:ilvl w:val="1"/>
          <w:numId w:val="19"/>
        </w:numPr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Szezon</w:t>
      </w:r>
      <w:r>
        <w:rPr>
          <w:bCs w:val="0"/>
          <w:sz w:val="20"/>
          <w:szCs w:val="20"/>
        </w:rPr>
        <w:t>alitás (az összes megújulónál)</w:t>
      </w:r>
    </w:p>
    <w:p w:rsidR="00000000" w:rsidRDefault="00600913">
      <w:pPr>
        <w:numPr>
          <w:ilvl w:val="1"/>
          <w:numId w:val="19"/>
        </w:numPr>
        <w:rPr>
          <w:sz w:val="20"/>
          <w:szCs w:val="20"/>
        </w:rPr>
      </w:pPr>
      <w:r>
        <w:rPr>
          <w:bCs w:val="0"/>
          <w:sz w:val="20"/>
          <w:szCs w:val="20"/>
        </w:rPr>
        <w:t>Kis energiasűrűség (párosulva a térben is szóródó hozamokkal)</w:t>
      </w:r>
    </w:p>
    <w:p w:rsidR="00000000" w:rsidRDefault="00600913">
      <w:pPr>
        <w:rPr>
          <w:b/>
          <w:bCs w:val="0"/>
          <w:sz w:val="20"/>
          <w:szCs w:val="20"/>
          <w:u w:val="single"/>
        </w:rPr>
      </w:pPr>
    </w:p>
    <w:p w:rsidR="00000000" w:rsidRDefault="00600913">
      <w:pPr>
        <w:numPr>
          <w:ilvl w:val="2"/>
          <w:numId w:val="19"/>
        </w:numPr>
        <w:tabs>
          <w:tab w:val="clear" w:pos="2160"/>
          <w:tab w:val="num" w:pos="720"/>
        </w:tabs>
        <w:ind w:left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Mekkora a bioenergetikai üzemek optimális mérete, és milyen a korszerű technológiájuk?</w:t>
      </w:r>
    </w:p>
    <w:p w:rsidR="00000000" w:rsidRDefault="00600913">
      <w:pPr>
        <w:jc w:val="both"/>
        <w:rPr>
          <w:sz w:val="20"/>
          <w:szCs w:val="20"/>
        </w:rPr>
      </w:pPr>
      <w:r>
        <w:rPr>
          <w:sz w:val="20"/>
          <w:szCs w:val="20"/>
        </w:rPr>
        <w:t>Mivel a biomassza energiasűrűsége jóval kisebb a klasszikus energiaforrások</w:t>
      </w:r>
      <w:r>
        <w:rPr>
          <w:sz w:val="20"/>
          <w:szCs w:val="20"/>
        </w:rPr>
        <w:t xml:space="preserve">hoz lépest, a logisztikai költségek (és energiaráfordítások) behatárolják az optimális feldolgozó üzemi méretet. Magyarán: a jelenlegi nagyteljesítményű fosszilis erőművek átállítása biomassza tüzelésre, vagy nagyméretű biomassza-alapú új erőmű létesítése </w:t>
      </w:r>
      <w:r>
        <w:rPr>
          <w:sz w:val="20"/>
          <w:szCs w:val="20"/>
        </w:rPr>
        <w:t>gazdaságilag irracionális, vagy csak igen jelentős támogatás (társadalmi ráfordítás) mellett oldható meg. Mint ahogy ugyancsak irracionális alacsony hatékonyságú széntüzelésű erőműben a biomassza együttégetéses technológiája (idősebb erőműveink átlagos hat</w:t>
      </w:r>
      <w:r>
        <w:rPr>
          <w:sz w:val="20"/>
          <w:szCs w:val="20"/>
        </w:rPr>
        <w:t>ásfoka kb. 30%-os). Nem tekinthető korszerű technológiának az, amelynek teljes vertikumra számított energiamérlege negatív, vagy kevéssel billen pozitív tartományba. Ha nem is ilyen mértékű, de hasonló dilemmával találkozunk nagyméretű, biohajtóanyag gyárt</w:t>
      </w:r>
      <w:r>
        <w:rPr>
          <w:sz w:val="20"/>
          <w:szCs w:val="20"/>
        </w:rPr>
        <w:t xml:space="preserve">ó üzem esetén  </w:t>
      </w:r>
    </w:p>
    <w:p w:rsidR="00000000" w:rsidRDefault="00600913">
      <w:pPr>
        <w:jc w:val="both"/>
        <w:rPr>
          <w:sz w:val="20"/>
          <w:szCs w:val="20"/>
        </w:rPr>
      </w:pPr>
    </w:p>
    <w:p w:rsidR="00000000" w:rsidRDefault="0060091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 biomassza-alapú energiatermelés környezeti hatásai</w:t>
      </w:r>
    </w:p>
    <w:p w:rsidR="00000000" w:rsidRDefault="00600913">
      <w:pPr>
        <w:jc w:val="center"/>
        <w:rPr>
          <w:b/>
          <w:sz w:val="20"/>
          <w:szCs w:val="20"/>
        </w:rPr>
      </w:pPr>
    </w:p>
    <w:p w:rsidR="00000000" w:rsidRDefault="00600913">
      <w:pPr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Mint azt előzőleg kifejtettük, bioenergetikáról, vagy tágabb körben a megújuló energiaforrások hasznosításáról, általában pedig energiagazdálkodásról (energetikai stratégiáról, vagy ene</w:t>
      </w:r>
      <w:r>
        <w:rPr>
          <w:sz w:val="20"/>
          <w:szCs w:val="20"/>
        </w:rPr>
        <w:t xml:space="preserve">rgiapolitikáról) </w:t>
      </w:r>
      <w:r>
        <w:rPr>
          <w:b/>
          <w:sz w:val="20"/>
          <w:szCs w:val="20"/>
        </w:rPr>
        <w:t>csak a fenntartható energiagazdálkodás rendszerébe illesztve</w:t>
      </w:r>
      <w:r>
        <w:rPr>
          <w:sz w:val="20"/>
          <w:szCs w:val="20"/>
        </w:rPr>
        <w:t xml:space="preserve"> tartjuk célszerűnek gondolkodni. Mindamellett fontos lehet összefoglalni, hogy a biomassza energetikai hasznosításának milyen </w:t>
      </w:r>
      <w:r>
        <w:rPr>
          <w:b/>
          <w:sz w:val="20"/>
          <w:szCs w:val="20"/>
        </w:rPr>
        <w:t>környezeti hatásait</w:t>
      </w:r>
      <w:r>
        <w:rPr>
          <w:sz w:val="20"/>
          <w:szCs w:val="20"/>
        </w:rPr>
        <w:t xml:space="preserve"> kell mérlegelni, mint ahogyan er</w:t>
      </w:r>
      <w:r>
        <w:rPr>
          <w:sz w:val="20"/>
          <w:szCs w:val="20"/>
        </w:rPr>
        <w:t xml:space="preserve">ről az utóbbi években több nemzetközi elemzés is született </w:t>
      </w:r>
      <w:r>
        <w:rPr>
          <w:i/>
          <w:color w:val="000000"/>
          <w:sz w:val="20"/>
          <w:szCs w:val="20"/>
        </w:rPr>
        <w:t>(EEA Report, 2006., EEA Technical Report, 2008.).</w:t>
      </w:r>
      <w:r>
        <w:rPr>
          <w:color w:val="000000"/>
          <w:sz w:val="20"/>
          <w:szCs w:val="20"/>
        </w:rPr>
        <w:t xml:space="preserve"> Ezeket az elemzéseket több tényező motiválta:</w:t>
      </w:r>
    </w:p>
    <w:p w:rsidR="00000000" w:rsidRDefault="00600913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000000" w:rsidRDefault="00600913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az EU megújuló energiával kapcsolatos ambiciózus (és emiatt potenciálisan komoly környezeti konzekve</w:t>
      </w:r>
      <w:r>
        <w:rPr>
          <w:color w:val="000000"/>
          <w:sz w:val="20"/>
          <w:szCs w:val="20"/>
        </w:rPr>
        <w:t>nciákkal járó) hosszú távú célkitűzéseinek megvalósíthatósági vizsgálata</w:t>
      </w:r>
    </w:p>
    <w:p w:rsidR="00000000" w:rsidRDefault="00600913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 klímaválság (légszennyezés) és az energiafüggőség egyre erősödő kihívásai</w:t>
      </w:r>
    </w:p>
    <w:p w:rsidR="00000000" w:rsidRDefault="00600913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 talaj, a </w:t>
      </w:r>
      <w:proofErr w:type="gramStart"/>
      <w:r>
        <w:rPr>
          <w:color w:val="000000"/>
          <w:sz w:val="20"/>
          <w:szCs w:val="20"/>
        </w:rPr>
        <w:t>víz növekvő</w:t>
      </w:r>
      <w:proofErr w:type="gramEnd"/>
      <w:r>
        <w:rPr>
          <w:color w:val="000000"/>
          <w:sz w:val="20"/>
          <w:szCs w:val="20"/>
        </w:rPr>
        <w:t xml:space="preserve"> szennyezése és a csökkenő biodiverzitás</w:t>
      </w:r>
    </w:p>
    <w:p w:rsidR="00000000" w:rsidRDefault="00600913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 biomassza élelmiszer-, energia- és egyéb c</w:t>
      </w:r>
      <w:r>
        <w:rPr>
          <w:color w:val="000000"/>
          <w:sz w:val="20"/>
          <w:szCs w:val="20"/>
        </w:rPr>
        <w:t xml:space="preserve">élú hasznosítási formái között egyre intenzívebbé váló verseny </w:t>
      </w:r>
    </w:p>
    <w:p w:rsidR="00000000" w:rsidRDefault="00600913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000000" w:rsidRDefault="00600913">
      <w:pPr>
        <w:autoSpaceDE w:val="0"/>
        <w:autoSpaceDN w:val="0"/>
        <w:adjustRightInd w:val="0"/>
        <w:jc w:val="both"/>
        <w:rPr>
          <w:i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Mindezeknek az egymásba ágyazódó, egymás hatásait direkt és/vagy indirekt módon befolyásoló tényezőknek a figyelembevétele nélkül elképzelhetetlen olyan globálisi és nemzeti szintű játékszabá</w:t>
      </w:r>
      <w:r>
        <w:rPr>
          <w:color w:val="000000"/>
          <w:sz w:val="20"/>
          <w:szCs w:val="20"/>
        </w:rPr>
        <w:t>lyok kialakítása, amelyek a szereplőket a célkitűzések megvalósítása irányába ösztönzik. Ha kiemeljük ebből a kérdéskörből a környezeti (ökológiai) kérdéseket, akkor alapvető kritérium számunkra a következő lehet: minden lehetséges úton arra törekedni, hog</w:t>
      </w:r>
      <w:r>
        <w:rPr>
          <w:color w:val="000000"/>
          <w:sz w:val="20"/>
          <w:szCs w:val="20"/>
        </w:rPr>
        <w:t xml:space="preserve">y minimalizáljuk a biomassza energiacélú előállításának és felhasználásának negatív környezeti hatásait, illetőleg maximalizáljuk a lehetséges környezeti előnyeit. </w:t>
      </w:r>
      <w:r>
        <w:rPr>
          <w:i/>
          <w:color w:val="000000"/>
          <w:sz w:val="20"/>
          <w:szCs w:val="20"/>
        </w:rPr>
        <w:t>(Dinya L</w:t>
      </w:r>
      <w:r>
        <w:rPr>
          <w:i/>
          <w:color w:val="000000"/>
          <w:sz w:val="20"/>
          <w:szCs w:val="20"/>
          <w:vertAlign w:val="superscript"/>
        </w:rPr>
        <w:t>2</w:t>
      </w:r>
      <w:proofErr w:type="gramStart"/>
      <w:r>
        <w:rPr>
          <w:i/>
          <w:color w:val="000000"/>
          <w:sz w:val="20"/>
          <w:szCs w:val="20"/>
        </w:rPr>
        <w:t>.,</w:t>
      </w:r>
      <w:proofErr w:type="gramEnd"/>
      <w:r>
        <w:rPr>
          <w:i/>
          <w:color w:val="000000"/>
          <w:sz w:val="20"/>
          <w:szCs w:val="20"/>
        </w:rPr>
        <w:t xml:space="preserve"> 2009.)</w:t>
      </w:r>
    </w:p>
    <w:p w:rsidR="00000000" w:rsidRDefault="00600913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000000" w:rsidRDefault="00600913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Miután az energetikai célra hasznosított elsődleges (primer) biomassza a</w:t>
      </w:r>
      <w:r>
        <w:rPr>
          <w:color w:val="000000"/>
          <w:sz w:val="20"/>
          <w:szCs w:val="20"/>
        </w:rPr>
        <w:t xml:space="preserve"> mezőgazdasági, erdészeti termelésből, az ugyancsak energia célú másodlagos, illetve harmadlagos biomassza pedig szerves hulladékból származik, és </w:t>
      </w:r>
      <w:proofErr w:type="gramStart"/>
      <w:r>
        <w:rPr>
          <w:color w:val="000000"/>
          <w:sz w:val="20"/>
          <w:szCs w:val="20"/>
        </w:rPr>
        <w:t>ezen</w:t>
      </w:r>
      <w:proofErr w:type="gramEnd"/>
      <w:r>
        <w:rPr>
          <w:color w:val="000000"/>
          <w:sz w:val="20"/>
          <w:szCs w:val="20"/>
        </w:rPr>
        <w:t xml:space="preserve"> források nem ugyanúgy fejtik ki hatásukat a környezetre, célszerű ezeket külön megtárgyalni. </w:t>
      </w:r>
    </w:p>
    <w:p w:rsidR="00000000" w:rsidRDefault="00600913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000000" w:rsidRDefault="00600913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 </w:t>
      </w:r>
      <w:r>
        <w:rPr>
          <w:b/>
          <w:color w:val="000000"/>
          <w:sz w:val="20"/>
          <w:szCs w:val="20"/>
        </w:rPr>
        <w:t>mezőgaz</w:t>
      </w:r>
      <w:r>
        <w:rPr>
          <w:b/>
          <w:color w:val="000000"/>
          <w:sz w:val="20"/>
          <w:szCs w:val="20"/>
        </w:rPr>
        <w:t>dasági termelésnek</w:t>
      </w:r>
      <w:r>
        <w:rPr>
          <w:color w:val="000000"/>
          <w:sz w:val="20"/>
          <w:szCs w:val="20"/>
        </w:rPr>
        <w:t xml:space="preserve"> nyilvánvalóan vannak pozitív és negatív környezeti hatásai, ennél fogva az </w:t>
      </w:r>
      <w:r>
        <w:rPr>
          <w:b/>
          <w:color w:val="000000"/>
          <w:sz w:val="20"/>
          <w:szCs w:val="20"/>
        </w:rPr>
        <w:t>energetikai célú mezőgazdasági termelés</w:t>
      </w:r>
      <w:r>
        <w:rPr>
          <w:color w:val="000000"/>
          <w:sz w:val="20"/>
          <w:szCs w:val="20"/>
        </w:rPr>
        <w:t xml:space="preserve"> méretének a növelése kapcsán ezeket együtt kell mérlegelni. A </w:t>
      </w:r>
      <w:r>
        <w:rPr>
          <w:b/>
          <w:color w:val="000000"/>
          <w:sz w:val="20"/>
          <w:szCs w:val="20"/>
        </w:rPr>
        <w:t>negatív környezeti hatások</w:t>
      </w:r>
      <w:r>
        <w:rPr>
          <w:color w:val="000000"/>
          <w:sz w:val="20"/>
          <w:szCs w:val="20"/>
        </w:rPr>
        <w:t xml:space="preserve"> tapasztalat szerint a következők:</w:t>
      </w:r>
    </w:p>
    <w:p w:rsidR="00000000" w:rsidRDefault="00600913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000000" w:rsidRDefault="00600913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az intenzív mezőgazdasági technológiák terjedése, amely degradálja a természeti erőforrásokat</w:t>
      </w:r>
    </w:p>
    <w:p w:rsidR="00000000" w:rsidRDefault="00600913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természeti területek szántóföldi művelésbe vonása energianövények termesztése céljából</w:t>
      </w:r>
    </w:p>
    <w:p w:rsidR="00000000" w:rsidRDefault="00600913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 helyi sajátosságokhoz nem illeszkedő növényfajták, - társítások meghono</w:t>
      </w:r>
      <w:r>
        <w:rPr>
          <w:color w:val="000000"/>
          <w:sz w:val="20"/>
          <w:szCs w:val="20"/>
        </w:rPr>
        <w:t>sítása, biodiverzitás csökkenése</w:t>
      </w:r>
    </w:p>
    <w:p w:rsidR="00000000" w:rsidRDefault="00600913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 talajerózió növekedése (a szél és az esőzések következtében, amit az éghajlatváltozás felerősít), valamint a nagy súlyú gépek miatti talajstruktúra rombolás</w:t>
      </w:r>
    </w:p>
    <w:p w:rsidR="00000000" w:rsidRDefault="00600913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vegyszerek felhalmozódása a talajban és a felszíni vizekben </w:t>
      </w:r>
    </w:p>
    <w:p w:rsidR="00000000" w:rsidRDefault="00600913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 n</w:t>
      </w:r>
      <w:r>
        <w:rPr>
          <w:color w:val="000000"/>
          <w:sz w:val="20"/>
          <w:szCs w:val="20"/>
        </w:rPr>
        <w:t>övekvő méretű öntözés miatt vízellátási problémák, és a talajok szikesedése</w:t>
      </w:r>
    </w:p>
    <w:p w:rsidR="00000000" w:rsidRDefault="00600913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000000" w:rsidRDefault="00600913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Annak érdekében, hogy a biomassza növekvő arányú energetikai felhasználásának környezeti hatásmérlegét optimalizáljuk, az EU-ban kemény </w:t>
      </w:r>
      <w:r>
        <w:rPr>
          <w:b/>
          <w:color w:val="000000"/>
          <w:sz w:val="20"/>
          <w:szCs w:val="20"/>
        </w:rPr>
        <w:t>környezeti kritériumokat</w:t>
      </w:r>
      <w:r>
        <w:rPr>
          <w:color w:val="000000"/>
          <w:sz w:val="20"/>
          <w:szCs w:val="20"/>
        </w:rPr>
        <w:t xml:space="preserve"> javasolnak bevezet</w:t>
      </w:r>
      <w:r>
        <w:rPr>
          <w:color w:val="000000"/>
          <w:sz w:val="20"/>
          <w:szCs w:val="20"/>
        </w:rPr>
        <w:t>ni (</w:t>
      </w:r>
      <w:r>
        <w:rPr>
          <w:i/>
          <w:color w:val="000000"/>
          <w:sz w:val="20"/>
          <w:szCs w:val="20"/>
        </w:rPr>
        <w:t>EEA Report</w:t>
      </w:r>
      <w:proofErr w:type="gramStart"/>
      <w:r>
        <w:rPr>
          <w:i/>
          <w:color w:val="000000"/>
          <w:sz w:val="20"/>
          <w:szCs w:val="20"/>
        </w:rPr>
        <w:t>.,</w:t>
      </w:r>
      <w:proofErr w:type="gramEnd"/>
      <w:r>
        <w:rPr>
          <w:i/>
          <w:color w:val="000000"/>
          <w:sz w:val="20"/>
          <w:szCs w:val="20"/>
        </w:rPr>
        <w:t xml:space="preserve"> 2006.):</w:t>
      </w:r>
    </w:p>
    <w:p w:rsidR="00000000" w:rsidRDefault="00600913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000000" w:rsidRDefault="00600913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néhány speciális helyzetű tagállamot leszámítva a mezőgazdasági terület legkevesebb 30%-án környezetbarát gazdálkodás (organic farming) megvalósítása 2030-ig</w:t>
      </w:r>
    </w:p>
    <w:p w:rsidR="00000000" w:rsidRDefault="00600913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 jelenleg intenzíven művelt földterület 3%-át a termelésből kivonni „ök</w:t>
      </w:r>
      <w:r>
        <w:rPr>
          <w:color w:val="000000"/>
          <w:sz w:val="20"/>
          <w:szCs w:val="20"/>
        </w:rPr>
        <w:t>ológiai kompenzáció” címszóval</w:t>
      </w:r>
    </w:p>
    <w:p w:rsidR="00000000" w:rsidRDefault="00600913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az extenzív módon művelt földterületeket továbbra is fenntartani</w:t>
      </w:r>
    </w:p>
    <w:p w:rsidR="00000000" w:rsidRDefault="00600913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bioenergetikai célú növényeket csak minimális környezetterhelést garantáló feltételek (növényfajták, technológiák) mellett termeszteni</w:t>
      </w:r>
    </w:p>
    <w:p w:rsidR="00000000" w:rsidRDefault="00600913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000000" w:rsidRDefault="00600913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Az </w:t>
      </w:r>
      <w:r>
        <w:rPr>
          <w:b/>
          <w:color w:val="000000"/>
          <w:sz w:val="20"/>
          <w:szCs w:val="20"/>
        </w:rPr>
        <w:t>erdészeti termelést</w:t>
      </w:r>
      <w:r>
        <w:rPr>
          <w:color w:val="000000"/>
          <w:sz w:val="20"/>
          <w:szCs w:val="20"/>
        </w:rPr>
        <w:t xml:space="preserve"> i</w:t>
      </w:r>
      <w:r>
        <w:rPr>
          <w:color w:val="000000"/>
          <w:sz w:val="20"/>
          <w:szCs w:val="20"/>
        </w:rPr>
        <w:t>lletően a környezeti hatások között vannak speciálisak is, mint például:</w:t>
      </w:r>
    </w:p>
    <w:p w:rsidR="00000000" w:rsidRDefault="00600913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000000" w:rsidRDefault="00600913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 fa tápanyagforrás is a talaj számára </w:t>
      </w:r>
    </w:p>
    <w:p w:rsidR="00000000" w:rsidRDefault="00600913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az erdő szabályozza a felszíni vizek lefolyását</w:t>
      </w:r>
    </w:p>
    <w:p w:rsidR="00000000" w:rsidRDefault="00600913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csökkenti az eróziót</w:t>
      </w:r>
    </w:p>
    <w:p w:rsidR="00000000" w:rsidRDefault="00600913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000000" w:rsidRDefault="00600913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Ennek megfelelően az energetikai célú erdészeti kitermelésnél fontos </w:t>
      </w:r>
      <w:r>
        <w:rPr>
          <w:b/>
          <w:color w:val="000000"/>
          <w:sz w:val="20"/>
          <w:szCs w:val="20"/>
        </w:rPr>
        <w:t>köv</w:t>
      </w:r>
      <w:r>
        <w:rPr>
          <w:b/>
          <w:color w:val="000000"/>
          <w:sz w:val="20"/>
          <w:szCs w:val="20"/>
        </w:rPr>
        <w:t>etelmények</w:t>
      </w:r>
      <w:r>
        <w:rPr>
          <w:color w:val="000000"/>
          <w:sz w:val="20"/>
          <w:szCs w:val="20"/>
        </w:rPr>
        <w:t xml:space="preserve"> a következők:</w:t>
      </w:r>
    </w:p>
    <w:p w:rsidR="00000000" w:rsidRDefault="00600913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000000" w:rsidRDefault="00600913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 védett erdőterületek intenzív használata tilos</w:t>
      </w:r>
    </w:p>
    <w:p w:rsidR="00000000" w:rsidRDefault="00600913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 lehullott lomb és a gyökérzet maradjanak a termőhelyen</w:t>
      </w:r>
    </w:p>
    <w:p w:rsidR="00000000" w:rsidRDefault="00600913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 kidőlt törzsek lehullott ágak egy része maradjon a helyszínen</w:t>
      </w:r>
    </w:p>
    <w:p w:rsidR="00000000" w:rsidRDefault="00600913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 kitermelés méretét EU-szinten a jelenlegi terület 5%-ával </w:t>
      </w:r>
      <w:r>
        <w:rPr>
          <w:color w:val="000000"/>
          <w:sz w:val="20"/>
          <w:szCs w:val="20"/>
        </w:rPr>
        <w:t>csökkenteni kell 2030-ig</w:t>
      </w:r>
    </w:p>
    <w:p w:rsidR="00000000" w:rsidRDefault="00600913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ezen túlmenően a kitermelt területen a fák 5%-át meg kell hagyni  </w:t>
      </w:r>
    </w:p>
    <w:p w:rsidR="00000000" w:rsidRDefault="00600913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000000" w:rsidRDefault="00600913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 szerves hulladék</w:t>
      </w:r>
      <w:r>
        <w:rPr>
          <w:color w:val="000000"/>
          <w:sz w:val="20"/>
          <w:szCs w:val="20"/>
        </w:rPr>
        <w:t xml:space="preserve"> energetikai hasznosításának – eltérően a mezőgazdasági, vagy erdészeti eredetű biomasszától – negatív környezeti hatásai nincsenek, hiszen a bio</w:t>
      </w:r>
      <w:r>
        <w:rPr>
          <w:color w:val="000000"/>
          <w:sz w:val="20"/>
          <w:szCs w:val="20"/>
        </w:rPr>
        <w:t xml:space="preserve">hulladék (melléktermék) hasznosítása éppenséggel a </w:t>
      </w:r>
      <w:r>
        <w:rPr>
          <w:b/>
          <w:color w:val="000000"/>
          <w:sz w:val="20"/>
          <w:szCs w:val="20"/>
        </w:rPr>
        <w:t>környezetterhelést csökkenti</w:t>
      </w:r>
      <w:r>
        <w:rPr>
          <w:color w:val="000000"/>
          <w:sz w:val="20"/>
          <w:szCs w:val="20"/>
        </w:rPr>
        <w:t>. Biohulladék a legtöbb gazdasági ágazatban jelentős mennyiségben és folyamatosan keletkezik, és energetikai hasznosításának legalább négy előnye van:</w:t>
      </w:r>
    </w:p>
    <w:p w:rsidR="00000000" w:rsidRDefault="00600913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000000" w:rsidRDefault="00600913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 hulladék okozta környez</w:t>
      </w:r>
      <w:r>
        <w:rPr>
          <w:color w:val="000000"/>
          <w:sz w:val="20"/>
          <w:szCs w:val="20"/>
        </w:rPr>
        <w:t>etszennyezés csökkentése</w:t>
      </w:r>
    </w:p>
    <w:p w:rsidR="00000000" w:rsidRDefault="00600913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fosszilis energiahordozók kiváltásával az üvegházhatású emisszió csökkentése</w:t>
      </w:r>
    </w:p>
    <w:p w:rsidR="00000000" w:rsidRDefault="00600913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szemben a megújuló energiaforrások többségével nem időszakosan áll rendelkezésre, hanem folyamatosan</w:t>
      </w:r>
    </w:p>
    <w:p w:rsidR="00000000" w:rsidRDefault="00600913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„előállítása” nem, csak a kezelése igényel külön ráfo</w:t>
      </w:r>
      <w:r>
        <w:rPr>
          <w:color w:val="000000"/>
          <w:sz w:val="20"/>
          <w:szCs w:val="20"/>
        </w:rPr>
        <w:t>rdítást</w:t>
      </w:r>
    </w:p>
    <w:p w:rsidR="00000000" w:rsidRDefault="00600913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000000" w:rsidRDefault="00600913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Az alábbi irányelvek követése lenne célszerű:</w:t>
      </w:r>
    </w:p>
    <w:p w:rsidR="00000000" w:rsidRDefault="00600913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000000" w:rsidRDefault="00600913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Jelentős mértékben csökkenteni kell a keletkező háztartási hulladék mennyiségét (EU-célkitűzés a jelenlegi tendencia – „business-as-usual” szcenárió - alapján számítható mennyiséghez képest 25%-os cs</w:t>
      </w:r>
      <w:r>
        <w:rPr>
          <w:color w:val="000000"/>
          <w:sz w:val="20"/>
          <w:szCs w:val="20"/>
        </w:rPr>
        <w:t>ökkentés 2030-ig)</w:t>
      </w:r>
    </w:p>
    <w:p w:rsidR="00000000" w:rsidRDefault="00600913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 biohulladék újrahasznosításának jelenlegi mértékét továbbra is fenn kell tartani (például a szalmatermés, vagy az élelmiszeripari hulladék 30-40%-a továbbra is nem energetikai célú felhasználású legyen)</w:t>
      </w:r>
    </w:p>
    <w:p w:rsidR="00000000" w:rsidRDefault="00600913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Valamennyi háztartási biohulladék</w:t>
      </w:r>
      <w:r>
        <w:rPr>
          <w:color w:val="000000"/>
          <w:sz w:val="20"/>
          <w:szCs w:val="20"/>
        </w:rPr>
        <w:t>ból energiát célszerű termelni (meg kell szüntetni ennek a szeméttelepi tárolását, vagy nem energetikai célú elégetését)</w:t>
      </w:r>
    </w:p>
    <w:p w:rsidR="00000000" w:rsidRDefault="00600913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 természetvédelmi célokkal összhangban csökkenteni kell a faipar és a papíripar fafelhasználását</w:t>
      </w:r>
    </w:p>
    <w:p w:rsidR="00000000" w:rsidRDefault="00600913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Növelni kell a mezőgazdasági területe</w:t>
      </w:r>
      <w:r>
        <w:rPr>
          <w:color w:val="000000"/>
          <w:sz w:val="20"/>
          <w:szCs w:val="20"/>
        </w:rPr>
        <w:t>ken az energiaerdők telepítését</w:t>
      </w:r>
    </w:p>
    <w:p w:rsidR="00000000" w:rsidRDefault="00600913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000000" w:rsidRDefault="00600913">
      <w:pPr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 fentiekhez </w:t>
      </w:r>
      <w:r>
        <w:rPr>
          <w:b/>
          <w:color w:val="000000"/>
          <w:sz w:val="20"/>
          <w:szCs w:val="20"/>
        </w:rPr>
        <w:t>megfelelő ösztönzőket és jogszabályokat</w:t>
      </w:r>
      <w:r>
        <w:rPr>
          <w:color w:val="000000"/>
          <w:sz w:val="20"/>
          <w:szCs w:val="20"/>
        </w:rPr>
        <w:t xml:space="preserve"> társítva úgy véljük, elérhető, hogy a biomassza növekvő energiacélú hasznosításának negatív környezeti hatásait minimalizáljuk, pozitív környezeti hatásait erősítsük és n</w:t>
      </w:r>
      <w:r>
        <w:rPr>
          <w:color w:val="000000"/>
          <w:sz w:val="20"/>
          <w:szCs w:val="20"/>
        </w:rPr>
        <w:t xml:space="preserve">em utolsó sorban az EU megújuló energiára (ezen belül a biomasszára) vonatkozó hosszú távú célkitűzéseiben vállalt hazai hozzájárulás is megvalósuljon. Amennyiben a </w:t>
      </w:r>
      <w:r>
        <w:rPr>
          <w:b/>
          <w:color w:val="000000"/>
          <w:sz w:val="20"/>
          <w:szCs w:val="20"/>
        </w:rPr>
        <w:t>hazai bioenergetikai célokat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fenntartható</w:t>
      </w:r>
      <w:r>
        <w:rPr>
          <w:color w:val="000000"/>
          <w:sz w:val="20"/>
          <w:szCs w:val="20"/>
        </w:rPr>
        <w:t xml:space="preserve"> módon kívánjuk meghatározni, környezeti hatások s</w:t>
      </w:r>
      <w:r>
        <w:rPr>
          <w:color w:val="000000"/>
          <w:sz w:val="20"/>
          <w:szCs w:val="20"/>
        </w:rPr>
        <w:t xml:space="preserve">zempontjából hasonló kritériumokat célszerű követni. </w:t>
      </w:r>
    </w:p>
    <w:p w:rsidR="00000000" w:rsidRDefault="0060091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00000" w:rsidRDefault="0060091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Társadalmi hatás - a „zöldülő” ágazatok munkahelyteremtő potenciálja</w:t>
      </w:r>
    </w:p>
    <w:p w:rsidR="00000000" w:rsidRDefault="00600913">
      <w:pPr>
        <w:jc w:val="both"/>
        <w:rPr>
          <w:b/>
          <w:sz w:val="20"/>
          <w:szCs w:val="20"/>
        </w:rPr>
      </w:pPr>
    </w:p>
    <w:p w:rsidR="00000000" w:rsidRDefault="0060091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Szinte valamennyi, a bionergetikai ágazattal foglalkozó elemzés kiemelt </w:t>
      </w:r>
      <w:r>
        <w:rPr>
          <w:b/>
          <w:sz w:val="20"/>
          <w:szCs w:val="20"/>
        </w:rPr>
        <w:t>pozitív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társadalmi hatásként</w:t>
      </w:r>
      <w:r>
        <w:rPr>
          <w:sz w:val="20"/>
          <w:szCs w:val="20"/>
        </w:rPr>
        <w:t xml:space="preserve"> megemlíti a munkahelyteremtés</w:t>
      </w:r>
      <w:r>
        <w:rPr>
          <w:sz w:val="20"/>
          <w:szCs w:val="20"/>
        </w:rPr>
        <w:t xml:space="preserve">t. Ezt sem szabad azonban rendszerösszefüggéseitől, nevezetesen a hozzá szorosan kapcsolódó képzési feladatoktól, valamint a kapcsolódó ágazatoktól (ha úgy tetszik a „zöldülő gazdaság”-tól) elválasztani. A bioenergetikai ágazat integrációinak fejlesztését </w:t>
      </w:r>
      <w:r>
        <w:rPr>
          <w:sz w:val="20"/>
          <w:szCs w:val="20"/>
        </w:rPr>
        <w:t xml:space="preserve">célzó kutatásaink során a „kudarc-sztorik” feldolgozásának egyik fontos tanulsága volt, hogy a projektek sikerét a </w:t>
      </w:r>
      <w:r>
        <w:rPr>
          <w:b/>
          <w:sz w:val="20"/>
          <w:szCs w:val="20"/>
        </w:rPr>
        <w:t>szakismeretek</w:t>
      </w:r>
      <w:r>
        <w:rPr>
          <w:sz w:val="20"/>
          <w:szCs w:val="20"/>
        </w:rPr>
        <w:t xml:space="preserve">, ezen belül a </w:t>
      </w:r>
      <w:r>
        <w:rPr>
          <w:b/>
          <w:sz w:val="20"/>
          <w:szCs w:val="20"/>
        </w:rPr>
        <w:t>rendszerszemléletű tudás</w:t>
      </w:r>
      <w:r>
        <w:rPr>
          <w:sz w:val="20"/>
          <w:szCs w:val="20"/>
        </w:rPr>
        <w:t xml:space="preserve"> és a </w:t>
      </w:r>
      <w:r>
        <w:rPr>
          <w:b/>
          <w:sz w:val="20"/>
          <w:szCs w:val="20"/>
        </w:rPr>
        <w:t>kooperációs kultúra</w:t>
      </w:r>
      <w:r>
        <w:rPr>
          <w:sz w:val="20"/>
          <w:szCs w:val="20"/>
        </w:rPr>
        <w:t xml:space="preserve"> nagyfokú hiánya gátolja meg (</w:t>
      </w:r>
      <w:r>
        <w:rPr>
          <w:i/>
          <w:sz w:val="20"/>
          <w:szCs w:val="20"/>
        </w:rPr>
        <w:t>Dinya L</w:t>
      </w:r>
      <w:r>
        <w:rPr>
          <w:i/>
          <w:sz w:val="20"/>
          <w:szCs w:val="20"/>
          <w:vertAlign w:val="superscript"/>
        </w:rPr>
        <w:t>2</w:t>
      </w:r>
      <w:proofErr w:type="gramStart"/>
      <w:r>
        <w:rPr>
          <w:i/>
          <w:sz w:val="20"/>
          <w:szCs w:val="20"/>
        </w:rPr>
        <w:t>.,</w:t>
      </w:r>
      <w:proofErr w:type="gramEnd"/>
      <w:r>
        <w:rPr>
          <w:i/>
          <w:sz w:val="20"/>
          <w:szCs w:val="20"/>
        </w:rPr>
        <w:t xml:space="preserve"> 2008)</w:t>
      </w:r>
      <w:r>
        <w:rPr>
          <w:sz w:val="20"/>
          <w:szCs w:val="20"/>
        </w:rPr>
        <w:t xml:space="preserve">. Meggyőződésünk, </w:t>
      </w:r>
      <w:r>
        <w:rPr>
          <w:sz w:val="20"/>
          <w:szCs w:val="20"/>
        </w:rPr>
        <w:t xml:space="preserve">hogy egyre keresettebbé válnak majd azok a </w:t>
      </w:r>
      <w:r>
        <w:rPr>
          <w:b/>
          <w:sz w:val="20"/>
          <w:szCs w:val="20"/>
        </w:rPr>
        <w:t>szakemberek</w:t>
      </w:r>
      <w:r>
        <w:rPr>
          <w:sz w:val="20"/>
          <w:szCs w:val="20"/>
        </w:rPr>
        <w:t>, akik ezt a komplexitást kezelni tudják, megfelelő módszertani és szakmai jártassággal rendelkeznek, és a fenntartható fejlődés szempontjait érvényesítő projekteket képesek megtervezni, irányítani, fel</w:t>
      </w:r>
      <w:r>
        <w:rPr>
          <w:sz w:val="20"/>
          <w:szCs w:val="20"/>
        </w:rPr>
        <w:t xml:space="preserve">ügyelni, értékelni. Az </w:t>
      </w:r>
      <w:r>
        <w:rPr>
          <w:b/>
          <w:sz w:val="20"/>
          <w:szCs w:val="20"/>
        </w:rPr>
        <w:t>együttműködés</w:t>
      </w:r>
      <w:r>
        <w:rPr>
          <w:sz w:val="20"/>
          <w:szCs w:val="20"/>
        </w:rPr>
        <w:t xml:space="preserve"> pedig azt jelenti, hogy miközben az üzleti projekteknek, tágabb összefüggésben az egész gazdaságnak „zöldülnie” kell („green economy”), ki kell vívniuk a </w:t>
      </w:r>
      <w:r>
        <w:rPr>
          <w:b/>
          <w:sz w:val="20"/>
          <w:szCs w:val="20"/>
        </w:rPr>
        <w:t>társadalmi támogatottságot</w:t>
      </w:r>
      <w:r>
        <w:rPr>
          <w:sz w:val="20"/>
          <w:szCs w:val="20"/>
        </w:rPr>
        <w:t xml:space="preserve">, ugyanakkor a társadalmi </w:t>
      </w:r>
      <w:r>
        <w:rPr>
          <w:b/>
          <w:sz w:val="20"/>
          <w:szCs w:val="20"/>
        </w:rPr>
        <w:t>érdekcsoporto</w:t>
      </w:r>
      <w:r>
        <w:rPr>
          <w:b/>
          <w:sz w:val="20"/>
          <w:szCs w:val="20"/>
        </w:rPr>
        <w:t>knak</w:t>
      </w:r>
      <w:r>
        <w:rPr>
          <w:sz w:val="20"/>
          <w:szCs w:val="20"/>
        </w:rPr>
        <w:t xml:space="preserve"> is meg kell tanulniuk üzleti fejjel gondolkodni. A „zöld gazdaság” az újabb értelmezés szerint (</w:t>
      </w:r>
      <w:r>
        <w:rPr>
          <w:bCs w:val="0"/>
          <w:i/>
          <w:color w:val="000000"/>
          <w:sz w:val="20"/>
          <w:szCs w:val="20"/>
        </w:rPr>
        <w:t>B. Milan, 2008.)</w:t>
      </w:r>
      <w:r>
        <w:t xml:space="preserve"> </w:t>
      </w:r>
      <w:r>
        <w:rPr>
          <w:sz w:val="20"/>
          <w:szCs w:val="20"/>
        </w:rPr>
        <w:t xml:space="preserve">nem szűkítendő le az ipar és az energiatermelés zöldítésére, mert valamennyi gazdasági szereplőre (üzleti szféra vállalkozásai, közszféra </w:t>
      </w:r>
      <w:r>
        <w:rPr>
          <w:sz w:val="20"/>
          <w:szCs w:val="20"/>
        </w:rPr>
        <w:t xml:space="preserve">közintézményei, civil szféra nonprofit szervezetei) érvényes (lásd a </w:t>
      </w:r>
      <w:r>
        <w:rPr>
          <w:b/>
          <w:sz w:val="20"/>
          <w:szCs w:val="20"/>
        </w:rPr>
        <w:t>2. táblázatot</w:t>
      </w:r>
      <w:r>
        <w:rPr>
          <w:sz w:val="20"/>
          <w:szCs w:val="20"/>
        </w:rPr>
        <w:t>!).</w:t>
      </w:r>
    </w:p>
    <w:p w:rsidR="00000000" w:rsidRDefault="0060091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00000" w:rsidRDefault="00600913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Ennélfogva</w:t>
      </w:r>
      <w:proofErr w:type="gramEnd"/>
      <w:r>
        <w:rPr>
          <w:sz w:val="20"/>
          <w:szCs w:val="20"/>
        </w:rPr>
        <w:t xml:space="preserve"> a vonatkozó kutatási eredmények, ismeretek minél szélesebb körű alkalmazása – különösen a szakképzésben, tudatformálásban – kiemelkedő jelentőségű feladat. A </w:t>
      </w:r>
      <w:r>
        <w:rPr>
          <w:sz w:val="20"/>
          <w:szCs w:val="20"/>
        </w:rPr>
        <w:t xml:space="preserve">szakterület helyzete gyorsan változó, miután egyre erősebb lesz a politikai – gazdasági szféra szereplőire (döntéshozóira) irányuló </w:t>
      </w:r>
      <w:r>
        <w:rPr>
          <w:b/>
          <w:sz w:val="20"/>
          <w:szCs w:val="20"/>
        </w:rPr>
        <w:t>társadalmi nyomás</w:t>
      </w:r>
      <w:r>
        <w:rPr>
          <w:sz w:val="20"/>
          <w:szCs w:val="20"/>
        </w:rPr>
        <w:t xml:space="preserve">. Megalapozott számítások szerint 2025. táján a </w:t>
      </w:r>
      <w:r>
        <w:rPr>
          <w:b/>
          <w:sz w:val="20"/>
          <w:szCs w:val="20"/>
        </w:rPr>
        <w:t>globális GDP mintegy 20% -a</w:t>
      </w:r>
      <w:r>
        <w:rPr>
          <w:sz w:val="20"/>
          <w:szCs w:val="20"/>
        </w:rPr>
        <w:t xml:space="preserve"> fog koncentrálódni két – a fenn</w:t>
      </w:r>
      <w:r>
        <w:rPr>
          <w:sz w:val="20"/>
          <w:szCs w:val="20"/>
        </w:rPr>
        <w:t>tartható fejlődés alapját képező – most formálódó, új ágazatban: az öko-energetikában (megújuló energiaforrások) és az öko-iparban (környezetvédelem, környezetgazdálkodás). (</w:t>
      </w:r>
      <w:r>
        <w:rPr>
          <w:bCs w:val="0"/>
          <w:i/>
          <w:color w:val="000000"/>
          <w:sz w:val="20"/>
          <w:szCs w:val="20"/>
        </w:rPr>
        <w:t>B. Milan, 2008.)</w:t>
      </w:r>
      <w:r>
        <w:rPr>
          <w:sz w:val="20"/>
          <w:szCs w:val="20"/>
        </w:rPr>
        <w:t xml:space="preserve">. Az EU (ezen belül mindenekelőtt fontos partnerünk, Németország) </w:t>
      </w:r>
      <w:r>
        <w:rPr>
          <w:sz w:val="20"/>
          <w:szCs w:val="20"/>
        </w:rPr>
        <w:t xml:space="preserve">mindkét ágazatban a csúcstechnológiákat képviseli, és </w:t>
      </w:r>
      <w:r>
        <w:rPr>
          <w:b/>
          <w:sz w:val="20"/>
          <w:szCs w:val="20"/>
        </w:rPr>
        <w:t>hazai adottságaink</w:t>
      </w:r>
      <w:r>
        <w:rPr>
          <w:sz w:val="20"/>
          <w:szCs w:val="20"/>
        </w:rPr>
        <w:t xml:space="preserve"> (pl. agroökológiai, vagy geotermikus potenciálunk) igen kedvezők, hogy ebben a folyamatban mi is szerepet vállaljunk. </w:t>
      </w:r>
    </w:p>
    <w:p w:rsidR="00000000" w:rsidRDefault="00600913">
      <w:pPr>
        <w:jc w:val="both"/>
        <w:rPr>
          <w:sz w:val="20"/>
          <w:szCs w:val="20"/>
        </w:rPr>
      </w:pPr>
    </w:p>
    <w:p w:rsidR="00000000" w:rsidRDefault="0060091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sokak által „zöld gazdaság”-nak nevezett </w:t>
      </w:r>
      <w:proofErr w:type="gramStart"/>
      <w:r>
        <w:rPr>
          <w:sz w:val="20"/>
          <w:szCs w:val="20"/>
        </w:rPr>
        <w:t>új gazdaság</w:t>
      </w:r>
      <w:proofErr w:type="gramEnd"/>
      <w:r>
        <w:rPr>
          <w:sz w:val="20"/>
          <w:szCs w:val="20"/>
        </w:rPr>
        <w:t xml:space="preserve"> a legtöb</w:t>
      </w:r>
      <w:r>
        <w:rPr>
          <w:sz w:val="20"/>
          <w:szCs w:val="20"/>
        </w:rPr>
        <w:t>b jelenlegi ágazatban technológiai paradigmaváltást igényel („zöld technológiák”, green technologies”), több ágazat eltűnését, és számos új ágazat születését is eredményezve. Mindez új („zöld”) szakmák („green jobs”) tömeges megjelenését, az ilyen kvalifik</w:t>
      </w:r>
      <w:r>
        <w:rPr>
          <w:sz w:val="20"/>
          <w:szCs w:val="20"/>
        </w:rPr>
        <w:t>ációval rendelkezők iránti tömeges munkaerőpiaci igényt, valamint az átalakuló ágazatokban jelenleg dolgozók tömeges átképzését is jelenti. Az új ágazatok munkahelyteremtő hatása a kvalifikációt nem igénylő munkakörökben is jelentős lesz, ami a vidéki munk</w:t>
      </w:r>
      <w:r>
        <w:rPr>
          <w:sz w:val="20"/>
          <w:szCs w:val="20"/>
        </w:rPr>
        <w:t xml:space="preserve">anélküliség csökkentésével szociális problémák megoldásához is hozzájárul. A szakképzéssel, továbbképzéssel foglalkozó intézmények számára ez azzal jár, hogy </w:t>
      </w:r>
      <w:r>
        <w:rPr>
          <w:b/>
          <w:sz w:val="20"/>
          <w:szCs w:val="20"/>
        </w:rPr>
        <w:t>„zöld képzési programok”</w:t>
      </w:r>
      <w:r>
        <w:rPr>
          <w:sz w:val="20"/>
          <w:szCs w:val="20"/>
        </w:rPr>
        <w:t xml:space="preserve"> kidolgozásával, indításával kapcsolódhatnak be ebbe a folyamatba. Ehhez é</w:t>
      </w:r>
      <w:r>
        <w:rPr>
          <w:sz w:val="20"/>
          <w:szCs w:val="20"/>
        </w:rPr>
        <w:t>rtelemszerűen megfelelő személyi, tárgyi, infrastrukturális és szervezeti feltételek megteremtése az első lépés, és természetesen nagy előnyt élveznek (egy rövid ideig!) azok az intézmények, amelyek ezekkel az alapokkal (előzményekkel) már – legalább részb</w:t>
      </w:r>
      <w:r>
        <w:rPr>
          <w:sz w:val="20"/>
          <w:szCs w:val="20"/>
        </w:rPr>
        <w:t>en – rendelkeznek</w:t>
      </w:r>
      <w:r>
        <w:rPr>
          <w:i/>
          <w:sz w:val="20"/>
          <w:szCs w:val="20"/>
        </w:rPr>
        <w:t>. (Dinya L</w:t>
      </w:r>
      <w:r>
        <w:rPr>
          <w:i/>
          <w:sz w:val="20"/>
          <w:szCs w:val="20"/>
          <w:vertAlign w:val="superscript"/>
        </w:rPr>
        <w:t>1</w:t>
      </w:r>
      <w:proofErr w:type="gramStart"/>
      <w:r>
        <w:rPr>
          <w:i/>
          <w:sz w:val="20"/>
          <w:szCs w:val="20"/>
        </w:rPr>
        <w:t>.,</w:t>
      </w:r>
      <w:proofErr w:type="gramEnd"/>
      <w:r>
        <w:rPr>
          <w:i/>
          <w:sz w:val="20"/>
          <w:szCs w:val="20"/>
        </w:rPr>
        <w:t xml:space="preserve"> 2009.)</w:t>
      </w:r>
    </w:p>
    <w:p w:rsidR="00000000" w:rsidRDefault="00600913">
      <w:pPr>
        <w:jc w:val="both"/>
        <w:rPr>
          <w:sz w:val="20"/>
          <w:szCs w:val="20"/>
        </w:rPr>
      </w:pPr>
    </w:p>
    <w:p w:rsidR="00000000" w:rsidRDefault="0060091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fenti </w:t>
      </w:r>
      <w:r>
        <w:rPr>
          <w:b/>
          <w:sz w:val="20"/>
          <w:szCs w:val="20"/>
        </w:rPr>
        <w:t>folyamat már megindult</w:t>
      </w:r>
      <w:r>
        <w:rPr>
          <w:sz w:val="20"/>
          <w:szCs w:val="20"/>
        </w:rPr>
        <w:t>, és nemzetközi elemzésekből jól kivehetők a trendek, a változások üteme, valamint azok munkaerőpiaci hatásainak mértéke (</w:t>
      </w:r>
      <w:r>
        <w:rPr>
          <w:b/>
          <w:sz w:val="20"/>
          <w:szCs w:val="20"/>
        </w:rPr>
        <w:t>2. táblázat</w:t>
      </w:r>
      <w:r>
        <w:rPr>
          <w:sz w:val="20"/>
          <w:szCs w:val="20"/>
        </w:rPr>
        <w:t>). Az új munkahelyek – akárcsak eddig, ezután is – ber</w:t>
      </w:r>
      <w:r>
        <w:rPr>
          <w:sz w:val="20"/>
          <w:szCs w:val="20"/>
        </w:rPr>
        <w:t>uházások révén keletkeznek. Különféle forrásokból (befektetők, kockázati tőke, állami költségvetés, stb…) egyre gyorsuló mértékben áramlik a pénz a zöldülő ágazatokba: a globális beruházás értéke a 2006. évi 92,6 milliárd USD-ről 2007-re 148,4 milliárd USD</w:t>
      </w:r>
      <w:r>
        <w:rPr>
          <w:sz w:val="20"/>
          <w:szCs w:val="20"/>
        </w:rPr>
        <w:t>-re nőtt (60%-os növekedés), és az ENSZ számításai szerint 2020-ban ez eléri az 1.900 milliárd USD-t. Ennek akadálya nem a tőkehiány, hanem a meglevő tőke jelenlegi befektetési irányait kell megváltoztatni, hiszen pl. csak az olajipar 2006-ban rekord nagys</w:t>
      </w:r>
      <w:r>
        <w:rPr>
          <w:sz w:val="20"/>
          <w:szCs w:val="20"/>
        </w:rPr>
        <w:t>ágú forgalmat (1.600 milliárd USD) és profitot (140 milliárd USD) ért el a jelenlegi torz – mert az externális költségeket / károkat nem beszámító – piaci viszonyok mellett. Vagy pl. a közpénzekből származó globális katonai kiadások nagysága 2006-ban 1.200</w:t>
      </w:r>
      <w:r>
        <w:rPr>
          <w:sz w:val="20"/>
          <w:szCs w:val="20"/>
        </w:rPr>
        <w:t xml:space="preserve"> milliárd USD volt. </w:t>
      </w:r>
      <w:r>
        <w:rPr>
          <w:i/>
          <w:sz w:val="20"/>
          <w:szCs w:val="20"/>
        </w:rPr>
        <w:t>(B. Milani, 2008.)</w:t>
      </w:r>
      <w:r>
        <w:rPr>
          <w:sz w:val="20"/>
          <w:szCs w:val="20"/>
        </w:rPr>
        <w:t xml:space="preserve"> Ennek megváltoztatása </w:t>
      </w:r>
      <w:r>
        <w:rPr>
          <w:b/>
          <w:sz w:val="20"/>
          <w:szCs w:val="20"/>
        </w:rPr>
        <w:t>globális politikai akarat</w:t>
      </w:r>
      <w:r>
        <w:rPr>
          <w:sz w:val="20"/>
          <w:szCs w:val="20"/>
        </w:rPr>
        <w:t xml:space="preserve"> nélkül nem megy.  A politikai akarat pedig erős (globális) társadalmi nyomással, szakmailag kiforrott koncepciókkal, azok globális publicitásával kényszeríthető ki, lehe</w:t>
      </w:r>
      <w:r>
        <w:rPr>
          <w:sz w:val="20"/>
          <w:szCs w:val="20"/>
        </w:rPr>
        <w:t>tőleg minél gyorsabban (támogatások – elvonások arányai, adó- és kamatkedvezmények, jogszabályok, stb…). Ehhez a megfelelően képzett szakemberek ugyancsak kellenek. Az ENSZ felmérése alapján (</w:t>
      </w:r>
      <w:r>
        <w:rPr>
          <w:bCs w:val="0"/>
          <w:i/>
          <w:color w:val="151412"/>
          <w:sz w:val="20"/>
          <w:szCs w:val="20"/>
        </w:rPr>
        <w:t xml:space="preserve">M. Renne – S. Sweeney </w:t>
      </w:r>
      <w:proofErr w:type="gramStart"/>
      <w:r>
        <w:rPr>
          <w:bCs w:val="0"/>
          <w:i/>
          <w:color w:val="151412"/>
          <w:sz w:val="20"/>
          <w:szCs w:val="20"/>
        </w:rPr>
        <w:t>-  J</w:t>
      </w:r>
      <w:proofErr w:type="gramEnd"/>
      <w:r>
        <w:rPr>
          <w:bCs w:val="0"/>
          <w:i/>
          <w:color w:val="151412"/>
          <w:sz w:val="20"/>
          <w:szCs w:val="20"/>
        </w:rPr>
        <w:t xml:space="preserve">. Kubit, </w:t>
      </w:r>
      <w:r>
        <w:rPr>
          <w:i/>
          <w:sz w:val="20"/>
          <w:szCs w:val="20"/>
        </w:rPr>
        <w:t>2008.)</w:t>
      </w:r>
      <w:r>
        <w:rPr>
          <w:sz w:val="20"/>
          <w:szCs w:val="20"/>
        </w:rPr>
        <w:t xml:space="preserve"> a fenntartható fejlődé</w:t>
      </w:r>
      <w:r>
        <w:rPr>
          <w:sz w:val="20"/>
          <w:szCs w:val="20"/>
        </w:rPr>
        <w:t xml:space="preserve">sre átállás által különösen érintett ágazatokban a „zöld munkahely” teremtő potenciál (illetve annak jelenlegi kihasználása) a </w:t>
      </w:r>
      <w:r>
        <w:rPr>
          <w:b/>
          <w:sz w:val="20"/>
          <w:szCs w:val="20"/>
        </w:rPr>
        <w:t>2. táblázat</w:t>
      </w:r>
      <w:r>
        <w:rPr>
          <w:sz w:val="20"/>
          <w:szCs w:val="20"/>
        </w:rPr>
        <w:t xml:space="preserve"> szerinti képet mutatja.</w:t>
      </w:r>
    </w:p>
    <w:p w:rsidR="00000000" w:rsidRDefault="00600913">
      <w:pPr>
        <w:jc w:val="both"/>
        <w:rPr>
          <w:sz w:val="20"/>
          <w:szCs w:val="20"/>
        </w:rPr>
      </w:pPr>
    </w:p>
    <w:p w:rsidR="00000000" w:rsidRDefault="00600913">
      <w:pPr>
        <w:rPr>
          <w:sz w:val="20"/>
          <w:szCs w:val="20"/>
        </w:rPr>
      </w:pPr>
      <w:r>
        <w:rPr>
          <w:sz w:val="20"/>
          <w:szCs w:val="20"/>
        </w:rPr>
        <w:t>FORRÁSMUNKÁK JEGYZÉKE</w:t>
      </w:r>
    </w:p>
    <w:p w:rsidR="00000000" w:rsidRDefault="00600913">
      <w:pPr>
        <w:rPr>
          <w:sz w:val="20"/>
          <w:szCs w:val="20"/>
        </w:rPr>
      </w:pPr>
    </w:p>
    <w:p w:rsidR="00000000" w:rsidRDefault="00600913">
      <w:pPr>
        <w:numPr>
          <w:ilvl w:val="0"/>
          <w:numId w:val="28"/>
        </w:numPr>
        <w:tabs>
          <w:tab w:val="clear" w:pos="720"/>
          <w:tab w:val="num" w:pos="360"/>
        </w:tabs>
        <w:ind w:hanging="720"/>
        <w:jc w:val="both"/>
        <w:rPr>
          <w:bCs w:val="0"/>
          <w:color w:val="000000"/>
          <w:sz w:val="20"/>
          <w:szCs w:val="20"/>
          <w:lang w:val="en-CA"/>
        </w:rPr>
      </w:pPr>
      <w:r>
        <w:rPr>
          <w:sz w:val="20"/>
          <w:szCs w:val="20"/>
        </w:rPr>
        <w:t xml:space="preserve">Brian Milani (2008): </w:t>
      </w:r>
      <w:r>
        <w:rPr>
          <w:bCs w:val="0"/>
          <w:iCs/>
          <w:color w:val="000000"/>
          <w:sz w:val="20"/>
          <w:szCs w:val="20"/>
          <w:lang w:val="en-CA"/>
        </w:rPr>
        <w:t>Designing the Green Economy (</w:t>
      </w:r>
      <w:r>
        <w:rPr>
          <w:bCs w:val="0"/>
          <w:color w:val="000000"/>
          <w:sz w:val="20"/>
          <w:szCs w:val="20"/>
          <w:lang w:val="en-CA"/>
        </w:rPr>
        <w:t>Rowman &amp; Littlefiel</w:t>
      </w:r>
      <w:r>
        <w:rPr>
          <w:bCs w:val="0"/>
          <w:color w:val="000000"/>
          <w:sz w:val="20"/>
          <w:szCs w:val="20"/>
          <w:lang w:val="en-CA"/>
        </w:rPr>
        <w:t>d, Plymouth, UK)</w:t>
      </w:r>
    </w:p>
    <w:p w:rsidR="00000000" w:rsidRDefault="00600913">
      <w:pPr>
        <w:numPr>
          <w:ilvl w:val="0"/>
          <w:numId w:val="28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>
        <w:rPr>
          <w:bCs w:val="0"/>
          <w:color w:val="000000"/>
          <w:sz w:val="20"/>
          <w:szCs w:val="20"/>
        </w:rPr>
        <w:t>Csete László (2008): Új paradigma az agrárgazdaságban: alkalmazkodás a globális kihívásokhoz (Gazdálkodás, 52. évf. 4</w:t>
      </w:r>
      <w:proofErr w:type="gramStart"/>
      <w:r>
        <w:rPr>
          <w:bCs w:val="0"/>
          <w:color w:val="000000"/>
          <w:sz w:val="20"/>
          <w:szCs w:val="20"/>
        </w:rPr>
        <w:t>.sz.</w:t>
      </w:r>
      <w:proofErr w:type="gramEnd"/>
      <w:r>
        <w:rPr>
          <w:bCs w:val="0"/>
          <w:color w:val="000000"/>
          <w:sz w:val="20"/>
          <w:szCs w:val="20"/>
        </w:rPr>
        <w:t>, 352-367.p.)</w:t>
      </w:r>
    </w:p>
    <w:p w:rsidR="00000000" w:rsidRDefault="00600913">
      <w:pPr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(3)  Dinya László (2007): Fenntartható energiagazdálkodás - ökoenergetika („Ma &amp; Holnap”, VII. évf., 200</w:t>
      </w:r>
      <w:r>
        <w:rPr>
          <w:sz w:val="20"/>
          <w:szCs w:val="20"/>
        </w:rPr>
        <w:t>7/3. sz., 26-29. p.)</w:t>
      </w:r>
    </w:p>
    <w:p w:rsidR="00000000" w:rsidRDefault="00600913">
      <w:pPr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(4) Dinya László</w:t>
      </w:r>
      <w:r>
        <w:rPr>
          <w:sz w:val="20"/>
          <w:szCs w:val="20"/>
          <w:vertAlign w:val="superscript"/>
        </w:rPr>
        <w:t xml:space="preserve">1 </w:t>
      </w:r>
      <w:r>
        <w:rPr>
          <w:sz w:val="20"/>
          <w:szCs w:val="20"/>
        </w:rPr>
        <w:t>(2008)</w:t>
      </w:r>
      <w:r>
        <w:rPr>
          <w:sz w:val="20"/>
          <w:szCs w:val="20"/>
        </w:rPr>
        <w:t>: Biomassza alapú fenntartható energiagazdálkodás (előadás, „Magyar Tudomány Napja”, MTA, 2008. nov. 6</w:t>
      </w:r>
      <w:proofErr w:type="gramStart"/>
      <w:r>
        <w:rPr>
          <w:sz w:val="20"/>
          <w:szCs w:val="20"/>
        </w:rPr>
        <w:t>.,</w:t>
      </w:r>
      <w:proofErr w:type="gramEnd"/>
      <w:r>
        <w:rPr>
          <w:sz w:val="20"/>
          <w:szCs w:val="20"/>
        </w:rPr>
        <w:t xml:space="preserve"> </w:t>
      </w:r>
      <w:hyperlink r:id="rId5" w:history="1">
        <w:r>
          <w:rPr>
            <w:rStyle w:val="Hiperhivatkozs"/>
            <w:sz w:val="20"/>
            <w:szCs w:val="20"/>
          </w:rPr>
          <w:t>http://vod.niif.hu/player/index.php?q=1587/1M</w:t>
        </w:r>
      </w:hyperlink>
    </w:p>
    <w:p w:rsidR="00000000" w:rsidRDefault="00600913">
      <w:pPr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(5)  Dinya László</w:t>
      </w:r>
      <w:r>
        <w:rPr>
          <w:sz w:val="20"/>
          <w:szCs w:val="20"/>
          <w:vertAlign w:val="superscript"/>
        </w:rPr>
        <w:t xml:space="preserve">2 </w:t>
      </w:r>
      <w:r>
        <w:rPr>
          <w:sz w:val="20"/>
          <w:szCs w:val="20"/>
        </w:rPr>
        <w:t>(2008): Bioenergetikai h</w:t>
      </w:r>
      <w:r>
        <w:rPr>
          <w:sz w:val="20"/>
          <w:szCs w:val="20"/>
        </w:rPr>
        <w:t>álózatok és az agrárium (in: „Hálózatok és klaszteresedés – elméleti és tapasztalati háttér”, ISBN 978-963-06-5348-0, NORRIA Kft – Miskolc, 2008., 159-162. p.)</w:t>
      </w:r>
    </w:p>
    <w:p w:rsidR="00000000" w:rsidRDefault="00600913">
      <w:pPr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(6)  Dinya László</w:t>
      </w:r>
      <w:r>
        <w:rPr>
          <w:sz w:val="20"/>
          <w:szCs w:val="20"/>
          <w:vertAlign w:val="superscript"/>
        </w:rPr>
        <w:t xml:space="preserve">1 </w:t>
      </w:r>
      <w:r>
        <w:rPr>
          <w:sz w:val="20"/>
          <w:szCs w:val="20"/>
        </w:rPr>
        <w:t>(2009): Természeti erőforrás gazdálkodási kar alapításának koncepciója (tanul</w:t>
      </w:r>
      <w:r>
        <w:rPr>
          <w:sz w:val="20"/>
          <w:szCs w:val="20"/>
        </w:rPr>
        <w:t>mány, Károly Róbert Főiskola, Gyöngyös, 2009.)</w:t>
      </w:r>
    </w:p>
    <w:p w:rsidR="00000000" w:rsidRDefault="00600913">
      <w:pPr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(7) Dinya László</w:t>
      </w:r>
      <w:r>
        <w:rPr>
          <w:sz w:val="20"/>
          <w:szCs w:val="20"/>
          <w:vertAlign w:val="superscript"/>
        </w:rPr>
        <w:t xml:space="preserve">2 </w:t>
      </w:r>
      <w:r>
        <w:rPr>
          <w:sz w:val="20"/>
          <w:szCs w:val="20"/>
        </w:rPr>
        <w:t>(2009): Áttekintés a biomassza alapú energiatermelés helyzetéről (tanulmány, MTA- Környezettudományi Elnöki Bizottság „Energetika és Környezet” Albizottság, Budapest, MTA, 2009.)</w:t>
      </w:r>
    </w:p>
    <w:p w:rsidR="00000000" w:rsidRDefault="00600913">
      <w:pPr>
        <w:numPr>
          <w:ilvl w:val="0"/>
          <w:numId w:val="30"/>
        </w:numPr>
        <w:tabs>
          <w:tab w:val="clear" w:pos="720"/>
          <w:tab w:val="num" w:pos="360"/>
        </w:tabs>
        <w:ind w:hanging="720"/>
        <w:rPr>
          <w:bCs w:val="0"/>
          <w:iCs/>
          <w:sz w:val="20"/>
          <w:szCs w:val="20"/>
        </w:rPr>
      </w:pPr>
      <w:r>
        <w:rPr>
          <w:bCs w:val="0"/>
          <w:iCs/>
          <w:sz w:val="20"/>
          <w:szCs w:val="20"/>
        </w:rPr>
        <w:t>Környezetvéd</w:t>
      </w:r>
      <w:r>
        <w:rPr>
          <w:bCs w:val="0"/>
          <w:iCs/>
          <w:sz w:val="20"/>
          <w:szCs w:val="20"/>
        </w:rPr>
        <w:t>elmi Lexikon, Akadémiai Kiadó (2002.)</w:t>
      </w:r>
    </w:p>
    <w:p w:rsidR="00000000" w:rsidRDefault="00600913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rPr>
          <w:bCs w:val="0"/>
          <w:iCs/>
          <w:sz w:val="20"/>
          <w:szCs w:val="20"/>
        </w:rPr>
      </w:pPr>
      <w:r>
        <w:rPr>
          <w:bCs w:val="0"/>
          <w:iCs/>
          <w:sz w:val="20"/>
          <w:szCs w:val="20"/>
        </w:rPr>
        <w:t>Gács Iván et al. (2006.): Magyarország primer energiahordozó struktúrájának elemzése, alakításának stratégiai céljai (GKM, Budapest, 2006., 1-96. p.)</w:t>
      </w:r>
    </w:p>
    <w:p w:rsidR="00000000" w:rsidRDefault="00600913">
      <w:pPr>
        <w:autoSpaceDE w:val="0"/>
        <w:autoSpaceDN w:val="0"/>
        <w:adjustRightInd w:val="0"/>
        <w:ind w:left="360" w:hanging="360"/>
        <w:rPr>
          <w:bCs w:val="0"/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(10)   Greenpeace International (2007.): Energy (r</w:t>
      </w:r>
      <w:proofErr w:type="gramStart"/>
      <w:r>
        <w:rPr>
          <w:color w:val="231F20"/>
          <w:sz w:val="20"/>
          <w:szCs w:val="20"/>
        </w:rPr>
        <w:t>)evolution</w:t>
      </w:r>
      <w:proofErr w:type="gramEnd"/>
      <w:r>
        <w:rPr>
          <w:color w:val="231F20"/>
          <w:sz w:val="20"/>
          <w:szCs w:val="20"/>
        </w:rPr>
        <w:t xml:space="preserve"> (</w:t>
      </w:r>
      <w:r>
        <w:rPr>
          <w:bCs w:val="0"/>
          <w:color w:val="231F20"/>
          <w:sz w:val="20"/>
          <w:szCs w:val="20"/>
        </w:rPr>
        <w:t>Publis</w:t>
      </w:r>
      <w:r>
        <w:rPr>
          <w:bCs w:val="0"/>
          <w:color w:val="231F20"/>
          <w:sz w:val="20"/>
          <w:szCs w:val="20"/>
        </w:rPr>
        <w:t>hed by Greenpeace International and EREC, 1-96. p.)</w:t>
      </w:r>
    </w:p>
    <w:p w:rsidR="00000000" w:rsidRDefault="00600913">
      <w:pPr>
        <w:jc w:val="both"/>
        <w:rPr>
          <w:sz w:val="20"/>
          <w:szCs w:val="20"/>
        </w:rPr>
      </w:pPr>
      <w:r>
        <w:rPr>
          <w:sz w:val="20"/>
          <w:szCs w:val="20"/>
        </w:rPr>
        <w:t>(11) Gyulai Iván (2008): A biomassza dilemma (MTVSZ, 2008/1. sz., 1-73. p.)</w:t>
      </w:r>
    </w:p>
    <w:p w:rsidR="00000000" w:rsidRDefault="00600913">
      <w:pPr>
        <w:jc w:val="both"/>
        <w:rPr>
          <w:sz w:val="20"/>
          <w:szCs w:val="20"/>
        </w:rPr>
      </w:pPr>
      <w:r>
        <w:rPr>
          <w:sz w:val="20"/>
          <w:szCs w:val="20"/>
        </w:rPr>
        <w:t>(12) IEA (2007.): Bioenergy Annual Report 2006 (International Energy Agency, Paris, 1-124. p.)</w:t>
      </w:r>
    </w:p>
    <w:p w:rsidR="00000000" w:rsidRDefault="00600913">
      <w:pPr>
        <w:ind w:left="360" w:hanging="36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(13) IPCC Fourth Assessment Repor</w:t>
      </w:r>
      <w:r>
        <w:rPr>
          <w:sz w:val="20"/>
          <w:szCs w:val="20"/>
          <w:lang w:val="en-US"/>
        </w:rPr>
        <w:t>t (2007): Working Group III Report "Mitigation of Climate Change" (</w:t>
      </w:r>
      <w:hyperlink r:id="rId6" w:history="1">
        <w:r>
          <w:rPr>
            <w:rStyle w:val="Hiperhivatkozs"/>
            <w:sz w:val="20"/>
            <w:szCs w:val="20"/>
            <w:lang w:val="en-US"/>
          </w:rPr>
          <w:t>http://www.ipcc.ch/ipccreports/ar4-wg3.htm</w:t>
        </w:r>
      </w:hyperlink>
      <w:r>
        <w:rPr>
          <w:sz w:val="20"/>
          <w:szCs w:val="20"/>
          <w:lang w:val="en-US"/>
        </w:rPr>
        <w:t>)</w:t>
      </w:r>
    </w:p>
    <w:p w:rsidR="00000000" w:rsidRDefault="00600913">
      <w:pPr>
        <w:ind w:left="360" w:hanging="36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(14) </w:t>
      </w:r>
      <w:r>
        <w:rPr>
          <w:sz w:val="20"/>
          <w:szCs w:val="20"/>
        </w:rPr>
        <w:t xml:space="preserve">Mészáros Sándor - Forgács Csaba (2008): Új utakon </w:t>
      </w:r>
      <w:proofErr w:type="gramStart"/>
      <w:r>
        <w:rPr>
          <w:sz w:val="20"/>
          <w:szCs w:val="20"/>
        </w:rPr>
        <w:t>az</w:t>
      </w:r>
      <w:proofErr w:type="gramEnd"/>
      <w:r>
        <w:rPr>
          <w:sz w:val="20"/>
          <w:szCs w:val="20"/>
        </w:rPr>
        <w:t xml:space="preserve"> agrárgazdasági kutatások (G</w:t>
      </w:r>
      <w:r>
        <w:rPr>
          <w:sz w:val="20"/>
          <w:szCs w:val="20"/>
        </w:rPr>
        <w:t>azdálkodás, 52. évf. 4. sz., 334-351. p.)</w:t>
      </w:r>
    </w:p>
    <w:p w:rsidR="00000000" w:rsidRDefault="00600913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(15) </w:t>
      </w:r>
      <w:r>
        <w:rPr>
          <w:bCs w:val="0"/>
          <w:color w:val="151412"/>
          <w:sz w:val="20"/>
          <w:szCs w:val="20"/>
          <w:lang w:val="en-US"/>
        </w:rPr>
        <w:t xml:space="preserve">Michael Renner - Sean Sweeney - Jill Kubit (2008): </w:t>
      </w:r>
      <w:r>
        <w:rPr>
          <w:bCs w:val="0"/>
          <w:sz w:val="20"/>
          <w:szCs w:val="20"/>
          <w:lang w:val="en-US"/>
        </w:rPr>
        <w:t>Green Jobs - Towards decent work in a sustainable, low-carbon world (</w:t>
      </w:r>
      <w:r>
        <w:rPr>
          <w:sz w:val="20"/>
          <w:szCs w:val="20"/>
          <w:lang w:val="en-US"/>
        </w:rPr>
        <w:t>United Nations Environment Programme, September 2008)</w:t>
      </w:r>
    </w:p>
    <w:p w:rsidR="00000000" w:rsidRDefault="00600913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(16) Popp József – Potori Norbert (</w:t>
      </w:r>
      <w:r>
        <w:rPr>
          <w:sz w:val="20"/>
          <w:szCs w:val="20"/>
        </w:rPr>
        <w:t>2008): Az élelmezés-, energia- és környezetbiztonság összefüggései (Gazdálkodás, 52. évf. 6. sz., 528-544.)</w:t>
      </w:r>
    </w:p>
    <w:p w:rsidR="00000000" w:rsidRDefault="00600913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 xml:space="preserve">(17) </w:t>
      </w:r>
      <w:proofErr w:type="gramStart"/>
      <w:r>
        <w:rPr>
          <w:color w:val="000000"/>
          <w:sz w:val="20"/>
          <w:szCs w:val="20"/>
          <w:lang w:val="en-US"/>
        </w:rPr>
        <w:t>------</w:t>
      </w:r>
      <w:r>
        <w:rPr>
          <w:sz w:val="20"/>
          <w:szCs w:val="20"/>
          <w:lang w:val="en-US"/>
        </w:rPr>
        <w:t>(</w:t>
      </w:r>
      <w:proofErr w:type="gramEnd"/>
      <w:r>
        <w:rPr>
          <w:sz w:val="20"/>
          <w:szCs w:val="20"/>
          <w:lang w:val="en-US"/>
        </w:rPr>
        <w:t xml:space="preserve">2006): </w:t>
      </w:r>
      <w:r>
        <w:rPr>
          <w:color w:val="000000"/>
          <w:sz w:val="20"/>
          <w:szCs w:val="20"/>
          <w:lang w:val="en-US"/>
        </w:rPr>
        <w:t>How much bioenergy can Europe produce without harming the environment? (EEA Report No 7/2006, ISSN 1725-9177)</w:t>
      </w:r>
    </w:p>
    <w:p w:rsidR="00000000" w:rsidRDefault="00600913">
      <w:pPr>
        <w:pStyle w:val="Pa0"/>
        <w:spacing w:line="240" w:lineRule="auto"/>
        <w:ind w:left="360" w:hanging="360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(18) </w:t>
      </w:r>
      <w:proofErr w:type="gramStart"/>
      <w:r>
        <w:rPr>
          <w:rFonts w:ascii="Times New Roman" w:hAnsi="Times New Roman"/>
          <w:sz w:val="20"/>
          <w:szCs w:val="20"/>
          <w:lang w:val="en-US"/>
        </w:rPr>
        <w:t>------(</w:t>
      </w:r>
      <w:proofErr w:type="gramEnd"/>
      <w:r>
        <w:rPr>
          <w:rFonts w:ascii="Times New Roman" w:hAnsi="Times New Roman"/>
          <w:sz w:val="20"/>
          <w:szCs w:val="20"/>
          <w:lang w:val="en-US"/>
        </w:rPr>
        <w:t>2008):</w:t>
      </w:r>
      <w:r>
        <w:rPr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 xml:space="preserve">Maximising the environmental benefits of Europe's bioenergy potential (EEA Technical report, 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No 10/2008, ISSN 1725–2237)</w:t>
      </w:r>
    </w:p>
    <w:p w:rsidR="00000000" w:rsidRDefault="00600913">
      <w:pPr>
        <w:jc w:val="both"/>
        <w:rPr>
          <w:sz w:val="20"/>
          <w:szCs w:val="20"/>
        </w:rPr>
      </w:pPr>
    </w:p>
    <w:p w:rsidR="00000000" w:rsidRDefault="00600913">
      <w:pPr>
        <w:jc w:val="both"/>
        <w:rPr>
          <w:sz w:val="20"/>
          <w:szCs w:val="20"/>
        </w:rPr>
      </w:pPr>
    </w:p>
    <w:p w:rsidR="00000000" w:rsidRDefault="00600913">
      <w:pPr>
        <w:jc w:val="both"/>
        <w:rPr>
          <w:sz w:val="20"/>
          <w:szCs w:val="20"/>
        </w:rPr>
      </w:pPr>
    </w:p>
    <w:p w:rsidR="00000000" w:rsidRDefault="00600913">
      <w:pPr>
        <w:jc w:val="both"/>
        <w:rPr>
          <w:sz w:val="20"/>
          <w:szCs w:val="20"/>
        </w:rPr>
      </w:pPr>
    </w:p>
    <w:p w:rsidR="00000000" w:rsidRDefault="00600913">
      <w:pPr>
        <w:jc w:val="both"/>
        <w:rPr>
          <w:sz w:val="20"/>
          <w:szCs w:val="20"/>
        </w:rPr>
      </w:pPr>
    </w:p>
    <w:p w:rsidR="00000000" w:rsidRDefault="00600913">
      <w:pPr>
        <w:jc w:val="both"/>
        <w:rPr>
          <w:sz w:val="20"/>
          <w:szCs w:val="20"/>
        </w:rPr>
      </w:pPr>
    </w:p>
    <w:p w:rsidR="00000000" w:rsidRDefault="00600913">
      <w:pPr>
        <w:jc w:val="both"/>
        <w:rPr>
          <w:sz w:val="20"/>
          <w:szCs w:val="20"/>
        </w:rPr>
      </w:pPr>
    </w:p>
    <w:p w:rsidR="00000000" w:rsidRDefault="00600913">
      <w:pPr>
        <w:jc w:val="both"/>
        <w:rPr>
          <w:sz w:val="20"/>
          <w:szCs w:val="20"/>
        </w:rPr>
      </w:pPr>
    </w:p>
    <w:p w:rsidR="00000000" w:rsidRDefault="00600913">
      <w:pPr>
        <w:jc w:val="both"/>
        <w:rPr>
          <w:sz w:val="20"/>
          <w:szCs w:val="20"/>
        </w:rPr>
      </w:pPr>
    </w:p>
    <w:p w:rsidR="00000000" w:rsidRDefault="00600913">
      <w:pPr>
        <w:jc w:val="both"/>
        <w:rPr>
          <w:b/>
          <w:u w:val="single"/>
        </w:rPr>
      </w:pPr>
      <w:r>
        <w:rPr>
          <w:b/>
          <w:u w:val="single"/>
        </w:rPr>
        <w:t xml:space="preserve">Táblázatok: </w:t>
      </w:r>
    </w:p>
    <w:p w:rsidR="00000000" w:rsidRDefault="00600913">
      <w:pPr>
        <w:jc w:val="both"/>
        <w:rPr>
          <w:b/>
          <w:color w:val="000000"/>
          <w:sz w:val="20"/>
          <w:szCs w:val="20"/>
        </w:rPr>
      </w:pPr>
    </w:p>
    <w:p w:rsidR="00000000" w:rsidRDefault="00600913">
      <w:pP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1. táblázat: Becslések a hazai fenntartható biomassza potenciálra</w:t>
      </w:r>
    </w:p>
    <w:tbl>
      <w:tblPr>
        <w:tblW w:w="6805" w:type="dxa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3615"/>
        <w:gridCol w:w="1595"/>
        <w:gridCol w:w="1595"/>
      </w:tblGrid>
      <w:tr w:rsidR="00000000">
        <w:trPr>
          <w:cantSplit/>
          <w:trHeight w:val="339"/>
          <w:tblCellSpacing w:w="0" w:type="dxa"/>
          <w:jc w:val="center"/>
        </w:trPr>
        <w:tc>
          <w:tcPr>
            <w:tcW w:w="3615" w:type="dxa"/>
            <w:vMerge w:val="restart"/>
            <w:vAlign w:val="center"/>
          </w:tcPr>
          <w:p w:rsidR="00000000" w:rsidRDefault="006009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Számítást végzők</w:t>
            </w:r>
          </w:p>
        </w:tc>
        <w:tc>
          <w:tcPr>
            <w:tcW w:w="1595" w:type="dxa"/>
            <w:vAlign w:val="center"/>
          </w:tcPr>
          <w:p w:rsidR="00000000" w:rsidRDefault="006009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Alsó érték</w:t>
            </w:r>
          </w:p>
        </w:tc>
        <w:tc>
          <w:tcPr>
            <w:tcW w:w="1595" w:type="dxa"/>
            <w:vAlign w:val="center"/>
          </w:tcPr>
          <w:p w:rsidR="00000000" w:rsidRDefault="006009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Felső érték</w:t>
            </w:r>
          </w:p>
        </w:tc>
      </w:tr>
      <w:tr w:rsidR="00000000">
        <w:trPr>
          <w:cantSplit/>
          <w:trHeight w:val="339"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000000" w:rsidRDefault="0060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vAlign w:val="center"/>
          </w:tcPr>
          <w:p w:rsidR="00000000" w:rsidRDefault="006009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PJ / év</w:t>
            </w:r>
          </w:p>
        </w:tc>
      </w:tr>
      <w:tr w:rsidR="00000000">
        <w:trPr>
          <w:trHeight w:val="655"/>
          <w:tblCellSpacing w:w="0" w:type="dxa"/>
          <w:jc w:val="center"/>
        </w:trPr>
        <w:tc>
          <w:tcPr>
            <w:tcW w:w="3615" w:type="dxa"/>
            <w:vAlign w:val="center"/>
          </w:tcPr>
          <w:p w:rsidR="00000000" w:rsidRDefault="006009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MTA Megújuló Energia Albizottsága (2005-2006.)</w:t>
            </w:r>
          </w:p>
        </w:tc>
        <w:tc>
          <w:tcPr>
            <w:tcW w:w="1595" w:type="dxa"/>
            <w:vAlign w:val="center"/>
          </w:tcPr>
          <w:p w:rsidR="00000000" w:rsidRDefault="006009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203</w:t>
            </w:r>
          </w:p>
        </w:tc>
        <w:tc>
          <w:tcPr>
            <w:tcW w:w="1595" w:type="dxa"/>
            <w:vAlign w:val="center"/>
          </w:tcPr>
          <w:p w:rsidR="00000000" w:rsidRDefault="006009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328</w:t>
            </w:r>
          </w:p>
        </w:tc>
      </w:tr>
      <w:tr w:rsidR="00000000">
        <w:trPr>
          <w:trHeight w:val="655"/>
          <w:tblCellSpacing w:w="0" w:type="dxa"/>
          <w:jc w:val="center"/>
        </w:trPr>
        <w:tc>
          <w:tcPr>
            <w:tcW w:w="3615" w:type="dxa"/>
            <w:vAlign w:val="center"/>
          </w:tcPr>
          <w:p w:rsidR="00000000" w:rsidRDefault="006009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Energia Klub (2006.)</w:t>
            </w:r>
          </w:p>
        </w:tc>
        <w:tc>
          <w:tcPr>
            <w:tcW w:w="1595" w:type="dxa"/>
            <w:vAlign w:val="center"/>
          </w:tcPr>
          <w:p w:rsidR="00000000" w:rsidRDefault="006009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58</w:t>
            </w:r>
          </w:p>
        </w:tc>
        <w:tc>
          <w:tcPr>
            <w:tcW w:w="1595" w:type="dxa"/>
            <w:vAlign w:val="center"/>
          </w:tcPr>
          <w:p w:rsidR="00000000" w:rsidRDefault="006009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223</w:t>
            </w:r>
          </w:p>
        </w:tc>
      </w:tr>
      <w:tr w:rsidR="00000000">
        <w:trPr>
          <w:trHeight w:val="655"/>
          <w:tblCellSpacing w:w="0" w:type="dxa"/>
          <w:jc w:val="center"/>
        </w:trPr>
        <w:tc>
          <w:tcPr>
            <w:tcW w:w="3615" w:type="dxa"/>
            <w:vAlign w:val="center"/>
          </w:tcPr>
          <w:p w:rsidR="00000000" w:rsidRDefault="006009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Európai Környezetvédelmi Ügynökség (EEA, 2006.)</w:t>
            </w:r>
          </w:p>
        </w:tc>
        <w:tc>
          <w:tcPr>
            <w:tcW w:w="3190" w:type="dxa"/>
            <w:gridSpan w:val="2"/>
            <w:vAlign w:val="center"/>
          </w:tcPr>
          <w:p w:rsidR="00000000" w:rsidRDefault="006009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145,5</w:t>
            </w:r>
          </w:p>
        </w:tc>
      </w:tr>
      <w:tr w:rsidR="00000000">
        <w:trPr>
          <w:trHeight w:val="655"/>
          <w:tblCellSpacing w:w="0" w:type="dxa"/>
          <w:jc w:val="center"/>
        </w:trPr>
        <w:tc>
          <w:tcPr>
            <w:tcW w:w="3615" w:type="dxa"/>
            <w:vAlign w:val="center"/>
          </w:tcPr>
          <w:p w:rsidR="00000000" w:rsidRDefault="006009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FVM (2007.)</w:t>
            </w:r>
          </w:p>
        </w:tc>
        <w:tc>
          <w:tcPr>
            <w:tcW w:w="3190" w:type="dxa"/>
            <w:gridSpan w:val="2"/>
            <w:vAlign w:val="center"/>
          </w:tcPr>
          <w:p w:rsidR="00000000" w:rsidRDefault="006009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260</w:t>
            </w:r>
          </w:p>
        </w:tc>
      </w:tr>
      <w:tr w:rsidR="00000000">
        <w:trPr>
          <w:trHeight w:val="655"/>
          <w:tblCellSpacing w:w="0" w:type="dxa"/>
          <w:jc w:val="center"/>
        </w:trPr>
        <w:tc>
          <w:tcPr>
            <w:tcW w:w="3615" w:type="dxa"/>
            <w:vAlign w:val="center"/>
          </w:tcPr>
          <w:p w:rsidR="00000000" w:rsidRDefault="006009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Szélsőértékek:</w:t>
            </w:r>
          </w:p>
        </w:tc>
        <w:tc>
          <w:tcPr>
            <w:tcW w:w="1595" w:type="dxa"/>
            <w:vAlign w:val="center"/>
          </w:tcPr>
          <w:p w:rsidR="00000000" w:rsidRDefault="006009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58</w:t>
            </w:r>
          </w:p>
        </w:tc>
        <w:tc>
          <w:tcPr>
            <w:tcW w:w="1595" w:type="dxa"/>
            <w:vAlign w:val="center"/>
          </w:tcPr>
          <w:p w:rsidR="00000000" w:rsidRDefault="006009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328</w:t>
            </w:r>
          </w:p>
        </w:tc>
      </w:tr>
    </w:tbl>
    <w:p w:rsidR="00000000" w:rsidRDefault="00600913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Forrás: saját szerkesztés</w:t>
      </w:r>
    </w:p>
    <w:p w:rsidR="00000000" w:rsidRDefault="00600913">
      <w:pPr>
        <w:jc w:val="both"/>
        <w:rPr>
          <w:sz w:val="20"/>
          <w:szCs w:val="20"/>
        </w:rPr>
      </w:pPr>
    </w:p>
    <w:p w:rsidR="00000000" w:rsidRDefault="0060091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 táblázat: Ágazatok „zöld munkahely” teremtő potenciálja</w:t>
      </w:r>
    </w:p>
    <w:p w:rsidR="00000000" w:rsidRDefault="00600913">
      <w:pPr>
        <w:rPr>
          <w:sz w:val="20"/>
          <w:szCs w:val="20"/>
        </w:rPr>
      </w:pPr>
    </w:p>
    <w:tbl>
      <w:tblPr>
        <w:tblW w:w="95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10"/>
        <w:gridCol w:w="1916"/>
        <w:gridCol w:w="1908"/>
        <w:gridCol w:w="1908"/>
        <w:gridCol w:w="190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910" w:type="dxa"/>
            <w:vAlign w:val="center"/>
          </w:tcPr>
          <w:p w:rsidR="00000000" w:rsidRDefault="006009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Ágazat</w:t>
            </w:r>
          </w:p>
        </w:tc>
        <w:tc>
          <w:tcPr>
            <w:tcW w:w="1916" w:type="dxa"/>
            <w:vAlign w:val="center"/>
          </w:tcPr>
          <w:p w:rsidR="00000000" w:rsidRDefault="006009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Terület</w:t>
            </w:r>
          </w:p>
        </w:tc>
        <w:tc>
          <w:tcPr>
            <w:tcW w:w="1908" w:type="dxa"/>
            <w:vAlign w:val="center"/>
          </w:tcPr>
          <w:p w:rsidR="00000000" w:rsidRDefault="006009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„Zöld potenciál”</w:t>
            </w:r>
          </w:p>
        </w:tc>
        <w:tc>
          <w:tcPr>
            <w:tcW w:w="1908" w:type="dxa"/>
            <w:vAlign w:val="center"/>
          </w:tcPr>
          <w:p w:rsidR="00000000" w:rsidRDefault="006009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Megvalósult „zöld munkahely” máig</w:t>
            </w:r>
          </w:p>
        </w:tc>
        <w:tc>
          <w:tcPr>
            <w:tcW w:w="1908" w:type="dxa"/>
            <w:vAlign w:val="center"/>
          </w:tcPr>
          <w:p w:rsidR="00000000" w:rsidRDefault="006009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Hosszú távú „zöld munkahely” potenciál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910" w:type="dxa"/>
          </w:tcPr>
          <w:p w:rsidR="00000000" w:rsidRDefault="00600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Energetika</w:t>
            </w:r>
          </w:p>
        </w:tc>
        <w:tc>
          <w:tcPr>
            <w:tcW w:w="1916" w:type="dxa"/>
          </w:tcPr>
          <w:p w:rsidR="00000000" w:rsidRDefault="00600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Megújulók</w:t>
            </w:r>
          </w:p>
        </w:tc>
        <w:tc>
          <w:tcPr>
            <w:tcW w:w="1908" w:type="dxa"/>
            <w:vAlign w:val="center"/>
          </w:tcPr>
          <w:p w:rsidR="00000000" w:rsidRDefault="00600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kitűnő</w:t>
            </w:r>
          </w:p>
        </w:tc>
        <w:tc>
          <w:tcPr>
            <w:tcW w:w="1908" w:type="dxa"/>
            <w:vAlign w:val="center"/>
          </w:tcPr>
          <w:p w:rsidR="00000000" w:rsidRDefault="00600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jó</w:t>
            </w:r>
          </w:p>
        </w:tc>
        <w:tc>
          <w:tcPr>
            <w:tcW w:w="1908" w:type="dxa"/>
            <w:vAlign w:val="center"/>
          </w:tcPr>
          <w:p w:rsidR="00000000" w:rsidRDefault="00600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kitűnő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910" w:type="dxa"/>
          </w:tcPr>
          <w:p w:rsidR="00000000" w:rsidRDefault="00600913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</w:tcPr>
          <w:p w:rsidR="00000000" w:rsidRDefault="00600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 xml:space="preserve"> megkötés</w:t>
            </w:r>
          </w:p>
        </w:tc>
        <w:tc>
          <w:tcPr>
            <w:tcW w:w="1908" w:type="dxa"/>
            <w:vAlign w:val="center"/>
          </w:tcPr>
          <w:p w:rsidR="00000000" w:rsidRDefault="00600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szerény</w:t>
            </w:r>
          </w:p>
        </w:tc>
        <w:tc>
          <w:tcPr>
            <w:tcW w:w="1908" w:type="dxa"/>
            <w:vAlign w:val="center"/>
          </w:tcPr>
          <w:p w:rsidR="00000000" w:rsidRDefault="00600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nincs</w:t>
            </w:r>
          </w:p>
        </w:tc>
        <w:tc>
          <w:tcPr>
            <w:tcW w:w="1908" w:type="dxa"/>
            <w:vAlign w:val="center"/>
          </w:tcPr>
          <w:p w:rsidR="00000000" w:rsidRDefault="00600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ismeretlen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1910" w:type="dxa"/>
          </w:tcPr>
          <w:p w:rsidR="00000000" w:rsidRDefault="00600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Ipar</w:t>
            </w:r>
          </w:p>
        </w:tc>
        <w:tc>
          <w:tcPr>
            <w:tcW w:w="1916" w:type="dxa"/>
          </w:tcPr>
          <w:p w:rsidR="00000000" w:rsidRDefault="00600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Acél</w:t>
            </w:r>
          </w:p>
        </w:tc>
        <w:tc>
          <w:tcPr>
            <w:tcW w:w="1908" w:type="dxa"/>
            <w:vAlign w:val="center"/>
          </w:tcPr>
          <w:p w:rsidR="00000000" w:rsidRDefault="00600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jó</w:t>
            </w:r>
          </w:p>
        </w:tc>
        <w:tc>
          <w:tcPr>
            <w:tcW w:w="1908" w:type="dxa"/>
            <w:vAlign w:val="center"/>
          </w:tcPr>
          <w:p w:rsidR="00000000" w:rsidRDefault="00600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szerény</w:t>
            </w:r>
          </w:p>
        </w:tc>
        <w:tc>
          <w:tcPr>
            <w:tcW w:w="1908" w:type="dxa"/>
            <w:vAlign w:val="center"/>
          </w:tcPr>
          <w:p w:rsidR="00000000" w:rsidRDefault="00600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szerény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1910" w:type="dxa"/>
          </w:tcPr>
          <w:p w:rsidR="00000000" w:rsidRDefault="00600913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</w:tcPr>
          <w:p w:rsidR="00000000" w:rsidRDefault="00600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Alumínium</w:t>
            </w:r>
          </w:p>
        </w:tc>
        <w:tc>
          <w:tcPr>
            <w:tcW w:w="1908" w:type="dxa"/>
            <w:vAlign w:val="center"/>
          </w:tcPr>
          <w:p w:rsidR="00000000" w:rsidRDefault="00600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jó</w:t>
            </w:r>
          </w:p>
        </w:tc>
        <w:tc>
          <w:tcPr>
            <w:tcW w:w="1908" w:type="dxa"/>
            <w:vAlign w:val="center"/>
          </w:tcPr>
          <w:p w:rsidR="00000000" w:rsidRDefault="00600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szerény</w:t>
            </w:r>
          </w:p>
        </w:tc>
        <w:tc>
          <w:tcPr>
            <w:tcW w:w="1908" w:type="dxa"/>
            <w:vAlign w:val="center"/>
          </w:tcPr>
          <w:p w:rsidR="00000000" w:rsidRDefault="00600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szerény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1910" w:type="dxa"/>
          </w:tcPr>
          <w:p w:rsidR="00000000" w:rsidRDefault="00600913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</w:tcPr>
          <w:p w:rsidR="00000000" w:rsidRDefault="00600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Cement</w:t>
            </w:r>
          </w:p>
        </w:tc>
        <w:tc>
          <w:tcPr>
            <w:tcW w:w="1908" w:type="dxa"/>
            <w:vAlign w:val="center"/>
          </w:tcPr>
          <w:p w:rsidR="00000000" w:rsidRDefault="00600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szerény</w:t>
            </w:r>
          </w:p>
        </w:tc>
        <w:tc>
          <w:tcPr>
            <w:tcW w:w="1908" w:type="dxa"/>
            <w:vAlign w:val="center"/>
          </w:tcPr>
          <w:p w:rsidR="00000000" w:rsidRDefault="00600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szerény</w:t>
            </w:r>
          </w:p>
        </w:tc>
        <w:tc>
          <w:tcPr>
            <w:tcW w:w="1908" w:type="dxa"/>
            <w:vAlign w:val="center"/>
          </w:tcPr>
          <w:p w:rsidR="00000000" w:rsidRDefault="00600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szerény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910" w:type="dxa"/>
          </w:tcPr>
          <w:p w:rsidR="00000000" w:rsidRDefault="00600913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</w:tcPr>
          <w:p w:rsidR="00000000" w:rsidRDefault="00600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Papír </w:t>
            </w:r>
          </w:p>
        </w:tc>
        <w:tc>
          <w:tcPr>
            <w:tcW w:w="1908" w:type="dxa"/>
            <w:vAlign w:val="center"/>
          </w:tcPr>
          <w:p w:rsidR="00000000" w:rsidRDefault="00600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jó</w:t>
            </w:r>
          </w:p>
        </w:tc>
        <w:tc>
          <w:tcPr>
            <w:tcW w:w="1908" w:type="dxa"/>
            <w:vAlign w:val="center"/>
          </w:tcPr>
          <w:p w:rsidR="00000000" w:rsidRDefault="00600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szerény</w:t>
            </w:r>
          </w:p>
        </w:tc>
        <w:tc>
          <w:tcPr>
            <w:tcW w:w="1908" w:type="dxa"/>
            <w:vAlign w:val="center"/>
          </w:tcPr>
          <w:p w:rsidR="00000000" w:rsidRDefault="00600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910" w:type="dxa"/>
          </w:tcPr>
          <w:p w:rsidR="00000000" w:rsidRDefault="00600913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</w:tcPr>
          <w:p w:rsidR="00000000" w:rsidRDefault="00600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Hulladékfeldolgozás</w:t>
            </w:r>
          </w:p>
        </w:tc>
        <w:tc>
          <w:tcPr>
            <w:tcW w:w="1908" w:type="dxa"/>
            <w:vAlign w:val="center"/>
          </w:tcPr>
          <w:p w:rsidR="00000000" w:rsidRDefault="00600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kitűnő</w:t>
            </w:r>
          </w:p>
        </w:tc>
        <w:tc>
          <w:tcPr>
            <w:tcW w:w="1908" w:type="dxa"/>
            <w:vAlign w:val="center"/>
          </w:tcPr>
          <w:p w:rsidR="00000000" w:rsidRDefault="00600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jó</w:t>
            </w:r>
          </w:p>
        </w:tc>
        <w:tc>
          <w:tcPr>
            <w:tcW w:w="1908" w:type="dxa"/>
            <w:vAlign w:val="center"/>
          </w:tcPr>
          <w:p w:rsidR="00000000" w:rsidRDefault="00600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kitűnő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910" w:type="dxa"/>
          </w:tcPr>
          <w:p w:rsidR="00000000" w:rsidRDefault="00600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Szállítás</w:t>
            </w:r>
          </w:p>
        </w:tc>
        <w:tc>
          <w:tcPr>
            <w:tcW w:w="1916" w:type="dxa"/>
          </w:tcPr>
          <w:p w:rsidR="00000000" w:rsidRDefault="00600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Kis fogyasztású kocsik</w:t>
            </w:r>
          </w:p>
        </w:tc>
        <w:tc>
          <w:tcPr>
            <w:tcW w:w="1908" w:type="dxa"/>
            <w:vAlign w:val="center"/>
          </w:tcPr>
          <w:p w:rsidR="00000000" w:rsidRDefault="00600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szerény - jó</w:t>
            </w:r>
          </w:p>
        </w:tc>
        <w:tc>
          <w:tcPr>
            <w:tcW w:w="1908" w:type="dxa"/>
            <w:vAlign w:val="center"/>
          </w:tcPr>
          <w:p w:rsidR="00000000" w:rsidRDefault="00600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korlátozott</w:t>
            </w:r>
          </w:p>
        </w:tc>
        <w:tc>
          <w:tcPr>
            <w:tcW w:w="1908" w:type="dxa"/>
            <w:vAlign w:val="center"/>
          </w:tcPr>
          <w:p w:rsidR="00000000" w:rsidRDefault="00600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1910" w:type="dxa"/>
          </w:tcPr>
          <w:p w:rsidR="00000000" w:rsidRDefault="00600913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</w:tcPr>
          <w:p w:rsidR="00000000" w:rsidRDefault="00600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Tömegközlekedés</w:t>
            </w:r>
          </w:p>
        </w:tc>
        <w:tc>
          <w:tcPr>
            <w:tcW w:w="1908" w:type="dxa"/>
            <w:vAlign w:val="center"/>
          </w:tcPr>
          <w:p w:rsidR="00000000" w:rsidRDefault="00600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kitűnő</w:t>
            </w:r>
          </w:p>
        </w:tc>
        <w:tc>
          <w:tcPr>
            <w:tcW w:w="1908" w:type="dxa"/>
            <w:vAlign w:val="center"/>
          </w:tcPr>
          <w:p w:rsidR="00000000" w:rsidRDefault="00600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korlátozott </w:t>
            </w:r>
          </w:p>
        </w:tc>
        <w:tc>
          <w:tcPr>
            <w:tcW w:w="1908" w:type="dxa"/>
            <w:vAlign w:val="center"/>
          </w:tcPr>
          <w:p w:rsidR="00000000" w:rsidRDefault="00600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kitűnő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1910" w:type="dxa"/>
          </w:tcPr>
          <w:p w:rsidR="00000000" w:rsidRDefault="00600913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</w:tcPr>
          <w:p w:rsidR="00000000" w:rsidRDefault="00600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asút</w:t>
            </w:r>
          </w:p>
        </w:tc>
        <w:tc>
          <w:tcPr>
            <w:tcW w:w="1908" w:type="dxa"/>
            <w:vAlign w:val="center"/>
          </w:tcPr>
          <w:p w:rsidR="00000000" w:rsidRDefault="00600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kitűnő</w:t>
            </w:r>
          </w:p>
        </w:tc>
        <w:tc>
          <w:tcPr>
            <w:tcW w:w="1908" w:type="dxa"/>
            <w:vAlign w:val="center"/>
          </w:tcPr>
          <w:p w:rsidR="00000000" w:rsidRDefault="00600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negatív</w:t>
            </w:r>
          </w:p>
        </w:tc>
        <w:tc>
          <w:tcPr>
            <w:tcW w:w="1908" w:type="dxa"/>
            <w:vAlign w:val="center"/>
          </w:tcPr>
          <w:p w:rsidR="00000000" w:rsidRDefault="00600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kitűnő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1910" w:type="dxa"/>
          </w:tcPr>
          <w:p w:rsidR="00000000" w:rsidRDefault="00600913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</w:tcPr>
          <w:p w:rsidR="00000000" w:rsidRDefault="00600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Repülés </w:t>
            </w:r>
          </w:p>
        </w:tc>
        <w:tc>
          <w:tcPr>
            <w:tcW w:w="1908" w:type="dxa"/>
            <w:vAlign w:val="center"/>
          </w:tcPr>
          <w:p w:rsidR="00000000" w:rsidRDefault="00600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korlátozott</w:t>
            </w:r>
          </w:p>
        </w:tc>
        <w:tc>
          <w:tcPr>
            <w:tcW w:w="1908" w:type="dxa"/>
            <w:vAlign w:val="center"/>
          </w:tcPr>
          <w:p w:rsidR="00000000" w:rsidRDefault="00600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korlátozott</w:t>
            </w:r>
          </w:p>
        </w:tc>
        <w:tc>
          <w:tcPr>
            <w:tcW w:w="1908" w:type="dxa"/>
            <w:vAlign w:val="center"/>
          </w:tcPr>
          <w:p w:rsidR="00000000" w:rsidRDefault="00600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korlátozott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910" w:type="dxa"/>
          </w:tcPr>
          <w:p w:rsidR="00000000" w:rsidRDefault="00600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Építőipar </w:t>
            </w:r>
          </w:p>
        </w:tc>
        <w:tc>
          <w:tcPr>
            <w:tcW w:w="1916" w:type="dxa"/>
          </w:tcPr>
          <w:p w:rsidR="00000000" w:rsidRDefault="00600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Zöld épületek</w:t>
            </w:r>
          </w:p>
        </w:tc>
        <w:tc>
          <w:tcPr>
            <w:tcW w:w="1908" w:type="dxa"/>
            <w:vAlign w:val="center"/>
          </w:tcPr>
          <w:p w:rsidR="00000000" w:rsidRDefault="00600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kitűnő</w:t>
            </w:r>
          </w:p>
        </w:tc>
        <w:tc>
          <w:tcPr>
            <w:tcW w:w="1908" w:type="dxa"/>
            <w:vAlign w:val="center"/>
          </w:tcPr>
          <w:p w:rsidR="00000000" w:rsidRDefault="00600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korlátozott</w:t>
            </w:r>
          </w:p>
        </w:tc>
        <w:tc>
          <w:tcPr>
            <w:tcW w:w="1908" w:type="dxa"/>
            <w:vAlign w:val="center"/>
          </w:tcPr>
          <w:p w:rsidR="00000000" w:rsidRDefault="00600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kitűnő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1910" w:type="dxa"/>
          </w:tcPr>
          <w:p w:rsidR="00000000" w:rsidRDefault="00600913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</w:tcPr>
          <w:p w:rsidR="00000000" w:rsidRDefault="00600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Szigetelés</w:t>
            </w:r>
          </w:p>
        </w:tc>
        <w:tc>
          <w:tcPr>
            <w:tcW w:w="1908" w:type="dxa"/>
            <w:vAlign w:val="center"/>
          </w:tcPr>
          <w:p w:rsidR="00000000" w:rsidRDefault="00600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kitűnő</w:t>
            </w:r>
          </w:p>
        </w:tc>
        <w:tc>
          <w:tcPr>
            <w:tcW w:w="1908" w:type="dxa"/>
            <w:vAlign w:val="center"/>
          </w:tcPr>
          <w:p w:rsidR="00000000" w:rsidRDefault="00600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korlátozott</w:t>
            </w:r>
          </w:p>
        </w:tc>
        <w:tc>
          <w:tcPr>
            <w:tcW w:w="1908" w:type="dxa"/>
            <w:vAlign w:val="center"/>
          </w:tcPr>
          <w:p w:rsidR="00000000" w:rsidRDefault="00600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kitűnő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1910" w:type="dxa"/>
          </w:tcPr>
          <w:p w:rsidR="00000000" w:rsidRDefault="00600913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</w:tcPr>
          <w:p w:rsidR="00000000" w:rsidRDefault="00600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Világítás</w:t>
            </w:r>
          </w:p>
        </w:tc>
        <w:tc>
          <w:tcPr>
            <w:tcW w:w="1908" w:type="dxa"/>
            <w:vAlign w:val="center"/>
          </w:tcPr>
          <w:p w:rsidR="00000000" w:rsidRDefault="00600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kitűnő</w:t>
            </w:r>
          </w:p>
        </w:tc>
        <w:tc>
          <w:tcPr>
            <w:tcW w:w="1908" w:type="dxa"/>
            <w:vAlign w:val="center"/>
          </w:tcPr>
          <w:p w:rsidR="00000000" w:rsidRDefault="00600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jó</w:t>
            </w:r>
          </w:p>
        </w:tc>
        <w:tc>
          <w:tcPr>
            <w:tcW w:w="1908" w:type="dxa"/>
            <w:vAlign w:val="center"/>
          </w:tcPr>
          <w:p w:rsidR="00000000" w:rsidRDefault="00600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kitűnő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910" w:type="dxa"/>
          </w:tcPr>
          <w:p w:rsidR="00000000" w:rsidRDefault="00600913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</w:tcPr>
          <w:p w:rsidR="00000000" w:rsidRDefault="00600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Háztartási berendezések</w:t>
            </w:r>
          </w:p>
        </w:tc>
        <w:tc>
          <w:tcPr>
            <w:tcW w:w="1908" w:type="dxa"/>
            <w:vAlign w:val="center"/>
          </w:tcPr>
          <w:p w:rsidR="00000000" w:rsidRDefault="00600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kitűnő</w:t>
            </w:r>
          </w:p>
        </w:tc>
        <w:tc>
          <w:tcPr>
            <w:tcW w:w="1908" w:type="dxa"/>
            <w:vAlign w:val="center"/>
          </w:tcPr>
          <w:p w:rsidR="00000000" w:rsidRDefault="00600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szerény</w:t>
            </w:r>
          </w:p>
        </w:tc>
        <w:tc>
          <w:tcPr>
            <w:tcW w:w="1908" w:type="dxa"/>
            <w:vAlign w:val="center"/>
          </w:tcPr>
          <w:p w:rsidR="00000000" w:rsidRDefault="00600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kitűnő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910" w:type="dxa"/>
          </w:tcPr>
          <w:p w:rsidR="00000000" w:rsidRDefault="00600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Mezőgazdaság </w:t>
            </w:r>
          </w:p>
        </w:tc>
        <w:tc>
          <w:tcPr>
            <w:tcW w:w="1916" w:type="dxa"/>
          </w:tcPr>
          <w:p w:rsidR="00000000" w:rsidRDefault="00600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Fenntartható gazdálkodás</w:t>
            </w:r>
          </w:p>
        </w:tc>
        <w:tc>
          <w:tcPr>
            <w:tcW w:w="1908" w:type="dxa"/>
            <w:vAlign w:val="center"/>
          </w:tcPr>
          <w:p w:rsidR="00000000" w:rsidRDefault="00600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kitűnő</w:t>
            </w:r>
          </w:p>
        </w:tc>
        <w:tc>
          <w:tcPr>
            <w:tcW w:w="1908" w:type="dxa"/>
            <w:vAlign w:val="center"/>
          </w:tcPr>
          <w:p w:rsidR="00000000" w:rsidRDefault="00600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negatív</w:t>
            </w:r>
          </w:p>
        </w:tc>
        <w:tc>
          <w:tcPr>
            <w:tcW w:w="1908" w:type="dxa"/>
            <w:vAlign w:val="center"/>
          </w:tcPr>
          <w:p w:rsidR="00000000" w:rsidRDefault="00600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kitűnő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910" w:type="dxa"/>
          </w:tcPr>
          <w:p w:rsidR="00000000" w:rsidRDefault="00600913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</w:tcPr>
          <w:p w:rsidR="00000000" w:rsidRDefault="00600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Biogazdaságok</w:t>
            </w:r>
          </w:p>
        </w:tc>
        <w:tc>
          <w:tcPr>
            <w:tcW w:w="1908" w:type="dxa"/>
            <w:vAlign w:val="center"/>
          </w:tcPr>
          <w:p w:rsidR="00000000" w:rsidRDefault="00600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kitűnő</w:t>
            </w:r>
          </w:p>
        </w:tc>
        <w:tc>
          <w:tcPr>
            <w:tcW w:w="1908" w:type="dxa"/>
            <w:vAlign w:val="center"/>
          </w:tcPr>
          <w:p w:rsidR="00000000" w:rsidRDefault="00600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korlátozott</w:t>
            </w:r>
          </w:p>
        </w:tc>
        <w:tc>
          <w:tcPr>
            <w:tcW w:w="1908" w:type="dxa"/>
            <w:vAlign w:val="center"/>
          </w:tcPr>
          <w:p w:rsidR="00000000" w:rsidRDefault="00600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jó-kitűnő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910" w:type="dxa"/>
          </w:tcPr>
          <w:p w:rsidR="00000000" w:rsidRDefault="00600913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</w:tcPr>
          <w:p w:rsidR="00000000" w:rsidRDefault="00600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Környezetvédelmi szolgáltatások</w:t>
            </w:r>
          </w:p>
        </w:tc>
        <w:tc>
          <w:tcPr>
            <w:tcW w:w="1908" w:type="dxa"/>
            <w:vAlign w:val="center"/>
          </w:tcPr>
          <w:p w:rsidR="00000000" w:rsidRDefault="00600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jó</w:t>
            </w:r>
          </w:p>
        </w:tc>
        <w:tc>
          <w:tcPr>
            <w:tcW w:w="1908" w:type="dxa"/>
            <w:vAlign w:val="center"/>
          </w:tcPr>
          <w:p w:rsidR="00000000" w:rsidRDefault="00600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korlátozott</w:t>
            </w:r>
          </w:p>
        </w:tc>
        <w:tc>
          <w:tcPr>
            <w:tcW w:w="1908" w:type="dxa"/>
            <w:vAlign w:val="center"/>
          </w:tcPr>
          <w:p w:rsidR="00000000" w:rsidRDefault="00600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ismeretlen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1910" w:type="dxa"/>
          </w:tcPr>
          <w:p w:rsidR="00000000" w:rsidRDefault="00600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Erdészet </w:t>
            </w:r>
          </w:p>
        </w:tc>
        <w:tc>
          <w:tcPr>
            <w:tcW w:w="1916" w:type="dxa"/>
          </w:tcPr>
          <w:p w:rsidR="00000000" w:rsidRDefault="00600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Vágás / telepítés</w:t>
            </w:r>
          </w:p>
        </w:tc>
        <w:tc>
          <w:tcPr>
            <w:tcW w:w="1908" w:type="dxa"/>
            <w:vAlign w:val="center"/>
          </w:tcPr>
          <w:p w:rsidR="00000000" w:rsidRDefault="00600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jó</w:t>
            </w:r>
          </w:p>
        </w:tc>
        <w:tc>
          <w:tcPr>
            <w:tcW w:w="1908" w:type="dxa"/>
            <w:vAlign w:val="center"/>
          </w:tcPr>
          <w:p w:rsidR="00000000" w:rsidRDefault="00600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korlátozott</w:t>
            </w:r>
          </w:p>
        </w:tc>
        <w:tc>
          <w:tcPr>
            <w:tcW w:w="1908" w:type="dxa"/>
            <w:vAlign w:val="center"/>
          </w:tcPr>
          <w:p w:rsidR="00000000" w:rsidRDefault="00600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1910" w:type="dxa"/>
          </w:tcPr>
          <w:p w:rsidR="00000000" w:rsidRDefault="00600913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</w:tcPr>
          <w:p w:rsidR="00000000" w:rsidRDefault="00600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Agrárerdészet</w:t>
            </w:r>
          </w:p>
        </w:tc>
        <w:tc>
          <w:tcPr>
            <w:tcW w:w="1908" w:type="dxa"/>
            <w:vAlign w:val="center"/>
          </w:tcPr>
          <w:p w:rsidR="00000000" w:rsidRDefault="00600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jó-kitűnő</w:t>
            </w:r>
          </w:p>
        </w:tc>
        <w:tc>
          <w:tcPr>
            <w:tcW w:w="1908" w:type="dxa"/>
            <w:vAlign w:val="center"/>
          </w:tcPr>
          <w:p w:rsidR="00000000" w:rsidRDefault="00600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korlátozott</w:t>
            </w:r>
          </w:p>
        </w:tc>
        <w:tc>
          <w:tcPr>
            <w:tcW w:w="1908" w:type="dxa"/>
            <w:vAlign w:val="center"/>
          </w:tcPr>
          <w:p w:rsidR="00000000" w:rsidRDefault="00600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jó-kitűnő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910" w:type="dxa"/>
          </w:tcPr>
          <w:p w:rsidR="00000000" w:rsidRDefault="00600913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</w:tcPr>
          <w:p w:rsidR="00000000" w:rsidRDefault="00600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Fennta</w:t>
            </w:r>
            <w:r>
              <w:rPr>
                <w:sz w:val="20"/>
                <w:szCs w:val="20"/>
              </w:rPr>
              <w:t>rtható erdőgazdálkodás</w:t>
            </w:r>
          </w:p>
        </w:tc>
        <w:tc>
          <w:tcPr>
            <w:tcW w:w="1908" w:type="dxa"/>
            <w:vAlign w:val="center"/>
          </w:tcPr>
          <w:p w:rsidR="00000000" w:rsidRDefault="00600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kitűnő</w:t>
            </w:r>
          </w:p>
        </w:tc>
        <w:tc>
          <w:tcPr>
            <w:tcW w:w="1908" w:type="dxa"/>
            <w:vAlign w:val="center"/>
          </w:tcPr>
          <w:p w:rsidR="00000000" w:rsidRDefault="00600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jó</w:t>
            </w:r>
          </w:p>
        </w:tc>
        <w:tc>
          <w:tcPr>
            <w:tcW w:w="1908" w:type="dxa"/>
            <w:vAlign w:val="center"/>
          </w:tcPr>
          <w:p w:rsidR="00000000" w:rsidRDefault="00600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kitűnő</w:t>
            </w:r>
          </w:p>
        </w:tc>
      </w:tr>
    </w:tbl>
    <w:p w:rsidR="00000000" w:rsidRDefault="00600913">
      <w:pPr>
        <w:autoSpaceDE w:val="0"/>
        <w:autoSpaceDN w:val="0"/>
        <w:adjustRightInd w:val="0"/>
        <w:rPr>
          <w:bCs w:val="0"/>
          <w:i/>
          <w:color w:val="000000"/>
          <w:sz w:val="20"/>
          <w:szCs w:val="20"/>
        </w:rPr>
      </w:pPr>
      <w:r>
        <w:rPr>
          <w:sz w:val="20"/>
          <w:szCs w:val="20"/>
        </w:rPr>
        <w:t>Forrás:</w:t>
      </w:r>
      <w:r>
        <w:rPr>
          <w:i/>
          <w:sz w:val="20"/>
          <w:szCs w:val="20"/>
        </w:rPr>
        <w:t xml:space="preserve"> </w:t>
      </w:r>
      <w:r>
        <w:rPr>
          <w:bCs w:val="0"/>
          <w:i/>
          <w:color w:val="151412"/>
          <w:sz w:val="20"/>
          <w:szCs w:val="20"/>
        </w:rPr>
        <w:t xml:space="preserve">Michael Renne - Sean Sweeney </w:t>
      </w:r>
      <w:proofErr w:type="gramStart"/>
      <w:r>
        <w:rPr>
          <w:bCs w:val="0"/>
          <w:i/>
          <w:color w:val="151412"/>
          <w:sz w:val="20"/>
          <w:szCs w:val="20"/>
        </w:rPr>
        <w:t>-  Jill</w:t>
      </w:r>
      <w:proofErr w:type="gramEnd"/>
      <w:r>
        <w:rPr>
          <w:bCs w:val="0"/>
          <w:i/>
          <w:color w:val="151412"/>
          <w:sz w:val="20"/>
          <w:szCs w:val="20"/>
        </w:rPr>
        <w:t xml:space="preserve"> Kubit (2008)</w:t>
      </w:r>
    </w:p>
    <w:p w:rsidR="00000000" w:rsidRDefault="00600913">
      <w:pPr>
        <w:jc w:val="both"/>
        <w:rPr>
          <w:sz w:val="20"/>
          <w:szCs w:val="20"/>
        </w:rPr>
      </w:pPr>
    </w:p>
    <w:p w:rsidR="00000000" w:rsidRDefault="00600913">
      <w:pPr>
        <w:jc w:val="both"/>
        <w:rPr>
          <w:color w:val="000000"/>
          <w:sz w:val="20"/>
          <w:szCs w:val="20"/>
        </w:rPr>
      </w:pPr>
    </w:p>
    <w:p w:rsidR="00000000" w:rsidRDefault="00600913">
      <w:pPr>
        <w:jc w:val="both"/>
        <w:rPr>
          <w:sz w:val="20"/>
          <w:szCs w:val="20"/>
        </w:rPr>
      </w:pPr>
    </w:p>
    <w:p w:rsidR="00000000" w:rsidRDefault="00600913">
      <w:pPr>
        <w:spacing w:before="120" w:after="120"/>
        <w:jc w:val="both"/>
        <w:rPr>
          <w:b/>
          <w:color w:val="000000"/>
        </w:rPr>
      </w:pPr>
      <w:r>
        <w:rPr>
          <w:b/>
          <w:color w:val="000000"/>
          <w:u w:val="single"/>
        </w:rPr>
        <w:t>Ábrák:</w:t>
      </w:r>
      <w:r>
        <w:rPr>
          <w:b/>
          <w:noProof/>
          <w:color w:val="000000"/>
        </w:rPr>
      </w:r>
      <w:r>
        <w:rPr>
          <w:b/>
          <w:color w:val="000000"/>
        </w:rPr>
        <w:pict>
          <v:group id="_x0000_s1051" editas="canvas" style="width:453.6pt;height:342.95pt;mso-position-horizontal-relative:char;mso-position-vertical-relative:line" coordorigin="2203,7371" coordsize="11294,853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style="position:absolute;left:2203;top:7371;width:11294;height:8538" o:preferrelative="f">
              <v:fill o:detectmouseclick="t"/>
              <v:path o:extrusionok="t" o:connecttype="none"/>
              <o:lock v:ext="edit" text="t"/>
            </v:shape>
            <v:oval id="_x0000_s1034" style="position:absolute;left:2793;top:8043;width:10340;height:5718;v-text-anchor:middle" fillcolor="#099"/>
            <v:oval id="_x0000_s1035" style="position:absolute;left:3789;top:9131;width:8347;height:4625;v-text-anchor:middle" fillcolor="#bbe0e3"/>
            <v:oval id="_x0000_s1036" style="position:absolute;left:4787;top:10583;width:6440;height:3176;v-text-anchor:middle" fillcolor="yellow"/>
            <v:oval id="_x0000_s1037" style="position:absolute;left:6688;top:11943;width:2686;height:1812;v-text-anchor:middle" fillcolor="#9c0">
              <v:textbox inset="1.62561mm,.81281mm,1.62561mm,.81281mm">
                <w:txbxContent>
                  <w:p w:rsidR="00000000" w:rsidRDefault="0060091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99CC00"/>
                        <w:sz w:val="23"/>
                        <w:szCs w:val="36"/>
                      </w:rPr>
                    </w:pPr>
                  </w:p>
                </w:txbxContent>
              </v:textbox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5966;top:8405;width:4355;height:558" filled="f" fillcolor="#bbe0e3" stroked="f">
              <v:textbox inset="1.62561mm,.81281mm,1.62561mm,.81281mm">
                <w:txbxContent>
                  <w:p w:rsidR="00000000" w:rsidRDefault="0060091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 w:val="0"/>
                        <w:color w:val="FFFFFF"/>
                        <w:sz w:val="31"/>
                        <w:szCs w:val="48"/>
                      </w:rPr>
                    </w:pPr>
                    <w:r>
                      <w:rPr>
                        <w:rFonts w:ascii="Arial" w:hAnsi="Arial" w:cs="Arial"/>
                        <w:b/>
                        <w:bCs w:val="0"/>
                        <w:color w:val="FFFFFF"/>
                        <w:sz w:val="31"/>
                        <w:szCs w:val="48"/>
                      </w:rPr>
                      <w:t>Fenntartható fejlődés</w:t>
                    </w:r>
                  </w:p>
                </w:txbxContent>
              </v:textbox>
            </v:shape>
            <v:shape id="_x0000_s1039" type="#_x0000_t202" style="position:absolute;left:5332;top:9857;width:5445;height:486" filled="f" fillcolor="#bbe0e3" stroked="f">
              <v:textbox inset="1.62561mm,.81281mm,1.62561mm,.81281mm">
                <w:txbxContent>
                  <w:p w:rsidR="00000000" w:rsidRDefault="0060091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 w:val="0"/>
                        <w:color w:val="339966"/>
                        <w:sz w:val="26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bCs w:val="0"/>
                        <w:color w:val="339966"/>
                        <w:sz w:val="26"/>
                        <w:szCs w:val="40"/>
                      </w:rPr>
                      <w:t>Fenntartható energiagazdálkodás</w:t>
                    </w:r>
                  </w:p>
                </w:txbxContent>
              </v:textbox>
            </v:shape>
            <v:shape id="_x0000_s1040" type="#_x0000_t202" style="position:absolute;left:6239;top:11216;width:3720;height:487" filled="f" fillcolor="#bbe0e3" stroked="f">
              <v:textbox inset="1.62561mm,.81281mm,1.62561mm,.81281mm">
                <w:txbxContent>
                  <w:p w:rsidR="00000000" w:rsidRDefault="0060091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 w:val="0"/>
                        <w:color w:val="009999"/>
                        <w:sz w:val="26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bCs w:val="0"/>
                        <w:color w:val="009999"/>
                        <w:sz w:val="26"/>
                        <w:szCs w:val="40"/>
                      </w:rPr>
                      <w:t>Ökoenergetika</w:t>
                    </w:r>
                  </w:p>
                </w:txbxContent>
              </v:textbox>
            </v:shape>
            <v:shape id="_x0000_s1041" type="#_x0000_t202" style="position:absolute;left:6149;top:12669;width:3719;height:486" filled="f" fillcolor="teal" stroked="f">
              <v:textbox inset="1.62561mm,.81281mm,1.62561mm,.81281mm">
                <w:txbxContent>
                  <w:p w:rsidR="00000000" w:rsidRDefault="0060091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 w:val="0"/>
                        <w:color w:val="000000"/>
                        <w:sz w:val="26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bCs w:val="0"/>
                        <w:color w:val="000000"/>
                        <w:sz w:val="26"/>
                        <w:szCs w:val="40"/>
                      </w:rPr>
                      <w:t>Bioenergetika</w:t>
                    </w:r>
                  </w:p>
                </w:txbxContent>
              </v:textbox>
            </v:shape>
            <v:shape id="_x0000_s1042" type="#_x0000_t202" style="position:absolute;left:2203;top:13304;width:3720;height:2418" filled="f" fillcolor="#bbe0e3" stroked="f">
              <v:textbox inset="1.62561mm,.81281mm,1.62561mm,.81281mm">
                <w:txbxContent>
                  <w:p w:rsidR="00000000" w:rsidRDefault="0060091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i/>
                        <w:iCs/>
                        <w:color w:val="000000"/>
                        <w:sz w:val="23"/>
                        <w:szCs w:val="36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23"/>
                        <w:szCs w:val="36"/>
                      </w:rPr>
                      <w:t xml:space="preserve">„Olyan </w:t>
                    </w:r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23"/>
                        <w:szCs w:val="36"/>
                      </w:rPr>
                      <w:t>fejlődés, amely kielégíti a jelen szükségleteit, anélkül, hogy veszélyeztetné a jövő nemzedékek szükségleteinek kielégítését "</w:t>
                    </w:r>
                  </w:p>
                </w:txbxContent>
              </v:textbox>
            </v:shape>
            <v:shape id="_x0000_s1043" type="#_x0000_t202" style="position:absolute;left:9776;top:13575;width:3721;height:1102" filled="f" fillcolor="#bbe0e3" stroked="f">
              <v:textbox inset="1.62561mm,.81281mm,1.62561mm,.81281mm">
                <w:txbxContent>
                  <w:p w:rsidR="00000000" w:rsidRDefault="0060091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i/>
                        <w:iCs/>
                        <w:color w:val="000000"/>
                        <w:sz w:val="23"/>
                        <w:szCs w:val="36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23"/>
                        <w:szCs w:val="36"/>
                      </w:rPr>
                      <w:t>„A fenntartható fejlődés szempontjait érvényesítő energiagazdálkodás”</w:t>
                    </w:r>
                  </w:p>
                </w:txbxContent>
              </v:textbox>
            </v:shape>
            <v:shape id="_x0000_s1044" type="#_x0000_t202" style="position:absolute;left:5695;top:14755;width:3720;height:1102" filled="f" fillcolor="#bbe0e3" stroked="f">
              <v:textbox inset="1.62561mm,.81281mm,1.62561mm,.81281mm">
                <w:txbxContent>
                  <w:p w:rsidR="00000000" w:rsidRDefault="0060091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i/>
                        <w:iCs/>
                        <w:color w:val="000000"/>
                        <w:sz w:val="23"/>
                        <w:szCs w:val="36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23"/>
                        <w:szCs w:val="36"/>
                      </w:rPr>
                      <w:t>„Megújuló és megújítható energiaforrásokra alapuló energiatermelés”</w:t>
                    </w:r>
                  </w:p>
                </w:txbxContent>
              </v:textbox>
            </v:shape>
            <v:shape id="_x0000_s1045" type="#_x0000_t202" style="position:absolute;left:9688;top:15026;width:3719;height:773" filled="f" fillcolor="#bbe0e3" stroked="f">
              <v:textbox inset="1.62561mm,.81281mm,1.62561mm,.81281mm">
                <w:txbxContent>
                  <w:p w:rsidR="00000000" w:rsidRDefault="0060091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 w:val="0"/>
                        <w:i/>
                        <w:iCs/>
                        <w:color w:val="000000"/>
                        <w:sz w:val="23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bCs w:val="0"/>
                        <w:i/>
                        <w:iCs/>
                        <w:color w:val="000000"/>
                        <w:sz w:val="23"/>
                        <w:szCs w:val="36"/>
                      </w:rPr>
                      <w:t>„Biomassza-alapú energiatermelés”</w:t>
                    </w:r>
                  </w:p>
                </w:txbxContent>
              </v:textbox>
            </v:shape>
            <v:shapetype id="_x0000_t93" coordsize="21600,21600" o:spt="93" adj="16200,5400" path="m@0,l@0@1,3375@1,3375@2@0@2@0,21600,21600,10800xem1350@1l1350@2,2700@2,2700@1xem0@1l0@2,675@2,675@1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3375,@1,@6,@2"/>
              <v:handles>
                <v:h position="#0,#1" xrange="3375,21600" yrange="0,10800"/>
              </v:handles>
            </v:shapetype>
            <v:shape id="_x0000_s1046" type="#_x0000_t93" style="position:absolute;left:2157;top:11943;width:2540;height:180;rotation:90;v-text-anchor:middle" fillcolor="red"/>
            <v:shape id="_x0000_s1047" type="#_x0000_t93" style="position:absolute;left:4924;top:13530;width:2268;height:182;rotation:90;v-text-anchor:middle" fillcolor="red"/>
            <v:shape id="_x0000_s1048" type="#_x0000_t93" style="position:absolute;left:10504;top:12395;width:2176;height:183;rotation:90;v-text-anchor:middle" fillcolor="red"/>
            <v:shape id="_x0000_s1049" type="#_x0000_t93" style="position:absolute;left:8295;top:14129;width:2449;height:182;rotation:3549584fd;v-text-anchor:middle" fillcolor="red"/>
            <v:shape id="_x0000_s1221" type="#_x0000_t202" style="position:absolute;left:4668;top:7371;width:6723;height:672" filled="f" stroked="f">
              <v:textbox>
                <w:txbxContent>
                  <w:p w:rsidR="00000000" w:rsidRDefault="00600913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1. ábra: Fenntarthatóság - biomassza</w:t>
                    </w:r>
                  </w:p>
                </w:txbxContent>
              </v:textbox>
            </v:shape>
            <w10:anchorlock/>
          </v:group>
        </w:pict>
      </w:r>
    </w:p>
    <w:p w:rsidR="00000000" w:rsidRDefault="00600913">
      <w:pPr>
        <w:spacing w:before="120" w:after="1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Forrás: saját szerkesztés</w:t>
      </w:r>
    </w:p>
    <w:p w:rsidR="00000000" w:rsidRDefault="00600913">
      <w:pPr>
        <w:spacing w:before="120" w:after="120"/>
        <w:jc w:val="both"/>
        <w:rPr>
          <w:color w:val="000000"/>
          <w:sz w:val="20"/>
          <w:szCs w:val="20"/>
        </w:rPr>
      </w:pPr>
      <w:r>
        <w:rPr>
          <w:b/>
          <w:noProof/>
          <w:color w:val="000000"/>
        </w:rPr>
      </w:r>
      <w:r>
        <w:rPr>
          <w:b/>
          <w:color w:val="000000"/>
        </w:rPr>
        <w:pict>
          <v:group id="_x0000_s1220" editas="canvas" style="width:453.6pt;height:314.35pt;mso-position-horizontal-relative:char;mso-position-vertical-relative:line" coordorigin="2203,693" coordsize="11520,7984">
            <o:lock v:ext="edit" aspectratio="t"/>
            <v:shape id="_x0000_s1219" type="#_x0000_t75" style="position:absolute;left:2203;top:693;width:11520;height:7984" o:preferrelative="f">
              <v:fill o:detectmouseclick="t"/>
              <v:path o:extrusionok="t" o:connecttype="none"/>
              <o:lock v:ext="edit" text="t"/>
            </v:shape>
            <v:shape id="_x0000_s1152" type="#_x0000_t202" style="position:absolute;left:6739;top:3061;width:2222;height:832" fillcolor="#ff9" strokecolor="red" strokeweight="2pt">
              <v:textbox style="mso-next-textbox:#_x0000_s1152" inset="1.60019mm,.80011mm,1.60019mm,.80011mm">
                <w:txbxContent>
                  <w:p w:rsidR="00000000" w:rsidRDefault="0060091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3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bCs w:val="0"/>
                        <w:color w:val="000000"/>
                        <w:sz w:val="20"/>
                        <w:szCs w:val="32"/>
                      </w:rPr>
                      <w:t>Megújuló energiaforrások</w:t>
                    </w:r>
                  </w:p>
                </w:txbxContent>
              </v:textbox>
            </v:shape>
            <v:shape id="_x0000_s1153" type="#_x0000_t202" style="position:absolute;left:4147;top:4357;width:2274;height:720" fillcolor="#ff9" strokecolor="red" strokeweight="2pt">
              <v:textbox style="mso-next-textbox:#_x0000_s1153" inset="1.60019mm,.80011mm,1.60019mm,.80011mm">
                <w:txbxContent>
                  <w:p w:rsidR="00000000" w:rsidRDefault="0060091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3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bCs w:val="0"/>
                        <w:color w:val="000000"/>
                        <w:sz w:val="20"/>
                        <w:szCs w:val="32"/>
                      </w:rPr>
                      <w:t>Kimeríthet</w:t>
                    </w:r>
                    <w:r>
                      <w:rPr>
                        <w:rFonts w:ascii="Arial"/>
                        <w:b/>
                        <w:bCs w:val="0"/>
                        <w:color w:val="000000"/>
                        <w:sz w:val="20"/>
                        <w:szCs w:val="32"/>
                      </w:rPr>
                      <w:t>ő</w:t>
                    </w:r>
                    <w:r>
                      <w:rPr>
                        <w:rFonts w:ascii="Arial" w:hAnsi="Arial" w:cs="Arial"/>
                        <w:b/>
                        <w:bCs w:val="0"/>
                        <w:color w:val="000000"/>
                        <w:sz w:val="20"/>
                        <w:szCs w:val="32"/>
                      </w:rPr>
                      <w:t xml:space="preserve"> energiaforrások</w:t>
                    </w:r>
                  </w:p>
                </w:txbxContent>
              </v:textbox>
            </v:shape>
            <v:shape id="_x0000_s1154" type="#_x0000_t202" style="position:absolute;left:4147;top:5653;width:2160;height:720" fillcolor="#ff9" strokecolor="red" strokeweight="2pt">
              <v:textbox style="mso-next-textbox:#_x0000_s1154" inset="1.60019mm,.80011mm,1.60019mm,.80011mm">
                <w:txbxContent>
                  <w:p w:rsidR="00000000" w:rsidRDefault="0060091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3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bCs w:val="0"/>
                        <w:color w:val="000000"/>
                        <w:sz w:val="20"/>
                        <w:szCs w:val="32"/>
                      </w:rPr>
                      <w:t>Integrált értéklánc</w:t>
                    </w:r>
                  </w:p>
                </w:txbxContent>
              </v:textbox>
            </v:shape>
            <v:shape id="_x0000_s1155" type="#_x0000_t202" style="position:absolute;left:6739;top:6805;width:2160;height:720" fillcolor="#ff9" strokecolor="red" strokeweight="2pt">
              <v:textbox style="mso-next-textbox:#_x0000_s1155" inset="1.60019mm,.80011mm,1.60019mm,.80011mm">
                <w:txbxContent>
                  <w:p w:rsidR="00000000" w:rsidRDefault="0060091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3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bCs w:val="0"/>
                        <w:color w:val="000000"/>
                        <w:sz w:val="20"/>
                        <w:szCs w:val="32"/>
                      </w:rPr>
                      <w:t>Játék-szabályok</w:t>
                    </w:r>
                  </w:p>
                </w:txbxContent>
              </v:textbox>
            </v:shape>
            <v:shape id="_x0000_s1156" type="#_x0000_t202" style="position:absolute;left:9331;top:4357;width:2160;height:720" fillcolor="#ff9" strokecolor="red" strokeweight="2pt">
              <v:textbox style="mso-next-textbox:#_x0000_s1156" inset="1.60019mm,.80011mm,1.60019mm,.80011mm">
                <w:txbxContent>
                  <w:p w:rsidR="00000000" w:rsidRDefault="0060091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 w:val="0"/>
                        <w:color w:val="000000"/>
                        <w:sz w:val="20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bCs w:val="0"/>
                        <w:color w:val="000000"/>
                        <w:sz w:val="20"/>
                        <w:szCs w:val="32"/>
                      </w:rPr>
                      <w:t xml:space="preserve">Ellátási </w:t>
                    </w:r>
                  </w:p>
                  <w:p w:rsidR="00000000" w:rsidRDefault="0060091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3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bCs w:val="0"/>
                        <w:color w:val="000000"/>
                        <w:sz w:val="20"/>
                        <w:szCs w:val="32"/>
                      </w:rPr>
                      <w:t>lánc</w:t>
                    </w:r>
                  </w:p>
                </w:txbxContent>
              </v:textbox>
            </v:shape>
            <v:shape id="_x0000_s1157" type="#_x0000_t202" style="position:absolute;left:9331;top:5653;width:2160;height:720" fillcolor="#ff9" strokecolor="red" strokeweight="2pt">
              <v:textbox style="mso-next-textbox:#_x0000_s1157" inset="1.60019mm,.80011mm,1.60019mm,.80011mm">
                <w:txbxContent>
                  <w:p w:rsidR="00000000" w:rsidRDefault="0060091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3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bCs w:val="0"/>
                        <w:color w:val="000000"/>
                        <w:sz w:val="20"/>
                        <w:szCs w:val="32"/>
                      </w:rPr>
                      <w:t>Energia-hatékonyság</w:t>
                    </w:r>
                  </w:p>
                </w:txbxContent>
              </v:textbox>
            </v:shape>
            <v:shape id="_x0000_s1158" type="#_x0000_t202" style="position:absolute;left:8961;top:3045;width:2160;height:1008" filled="f" stroked="f" strokecolor="yellow">
              <v:textbox style="mso-next-textbox:#_x0000_s1158" inset="1.60019mm,.80011mm,1.60019mm,.80011mm">
                <w:txbxContent>
                  <w:p w:rsidR="00000000" w:rsidRDefault="0060091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BBE0E3"/>
                        <w:sz w:val="23"/>
                        <w:szCs w:val="36"/>
                      </w:rPr>
                    </w:pPr>
                  </w:p>
                </w:txbxContent>
              </v:textbox>
            </v:shape>
            <v:shape id="_x0000_s1159" type="#_x0000_t202" style="position:absolute;left:4607;top:2047;width:1582;height:432" filled="f" fillcolor="#393">
              <v:textbox inset="1.60019mm,.80011mm,1.60019mm,.80011mm">
                <w:txbxContent>
                  <w:p w:rsidR="00000000" w:rsidRDefault="0060091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3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bCs w:val="0"/>
                        <w:color w:val="000000"/>
                        <w:sz w:val="20"/>
                        <w:szCs w:val="32"/>
                      </w:rPr>
                      <w:t>Biomassza</w:t>
                    </w:r>
                  </w:p>
                </w:txbxContent>
              </v:textbox>
            </v:shape>
            <v:shape id="_x0000_s1160" type="#_x0000_t202" style="position:absolute;left:6421;top:2047;width:811;height:475" filled="f" fillcolor="#393">
              <v:textbox inset="1.60019mm,.80011mm,1.60019mm,.80011mm">
                <w:txbxContent>
                  <w:p w:rsidR="00000000" w:rsidRDefault="0060091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3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bCs w:val="0"/>
                        <w:color w:val="000000"/>
                        <w:sz w:val="20"/>
                        <w:szCs w:val="32"/>
                      </w:rPr>
                      <w:t>Nap</w:t>
                    </w:r>
                  </w:p>
                </w:txbxContent>
              </v:textbox>
            </v:shape>
            <v:shape id="_x0000_s1161" type="#_x0000_t202" style="position:absolute;left:7419;top:2047;width:864;height:432" filled="f" fillcolor="#393">
              <v:textbox inset="1.60019mm,.80011mm,1.60019mm,.80011mm">
                <w:txbxContent>
                  <w:p w:rsidR="00000000" w:rsidRDefault="0060091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3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bCs w:val="0"/>
                        <w:color w:val="000000"/>
                        <w:sz w:val="20"/>
                        <w:szCs w:val="32"/>
                      </w:rPr>
                      <w:t>Szél</w:t>
                    </w:r>
                  </w:p>
                </w:txbxContent>
              </v:textbox>
            </v:shape>
            <v:shape id="_x0000_s1162" type="#_x0000_t202" style="position:absolute;left:8467;top:2063;width:1582;height:432" filled="f" fillcolor="#393">
              <v:textbox inset="1.60019mm,.80011mm,1.60019mm,.80011mm">
                <w:txbxContent>
                  <w:p w:rsidR="00000000" w:rsidRDefault="0060091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3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bCs w:val="0"/>
                        <w:color w:val="000000"/>
                        <w:sz w:val="20"/>
                        <w:szCs w:val="32"/>
                      </w:rPr>
                      <w:t>Földhő</w:t>
                    </w:r>
                  </w:p>
                </w:txbxContent>
              </v:textbox>
            </v:shape>
            <v:shape id="_x0000_s1163" type="#_x0000_t202" style="position:absolute;left:10231;top:2047;width:960;height:454" filled="f" fillcolor="#393">
              <v:textbox inset="1.60019mm,.80011mm,1.60019mm,.80011mm">
                <w:txbxContent>
                  <w:p w:rsidR="00000000" w:rsidRDefault="0060091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3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bCs w:val="0"/>
                        <w:color w:val="000000"/>
                        <w:sz w:val="20"/>
                        <w:szCs w:val="32"/>
                      </w:rPr>
                      <w:t>Víz</w:t>
                    </w:r>
                  </w:p>
                </w:txbxContent>
              </v:textbox>
            </v:shape>
            <v:shape id="_x0000_s1164" type="#_x0000_t202" style="position:absolute;left:3283;top:2341;width:864;height:432" filled="f" fillcolor="#960">
              <v:textbox style="mso-next-textbox:#_x0000_s1164" inset="1.60019mm,.80011mm,1.60019mm,.80011mm">
                <w:txbxContent>
                  <w:p w:rsidR="00000000" w:rsidRDefault="0060091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3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bCs w:val="0"/>
                        <w:color w:val="000000"/>
                        <w:sz w:val="20"/>
                        <w:szCs w:val="32"/>
                      </w:rPr>
                      <w:t>Szén</w:t>
                    </w:r>
                  </w:p>
                </w:txbxContent>
              </v:textbox>
            </v:shape>
            <v:shape id="_x0000_s1165" type="#_x0000_t202" style="position:absolute;left:2419;top:2917;width:864;height:432" filled="f" fillcolor="#960">
              <v:textbox style="mso-next-textbox:#_x0000_s1165" inset="1.60019mm,.80011mm,1.60019mm,.80011mm">
                <w:txbxContent>
                  <w:p w:rsidR="00000000" w:rsidRDefault="0060091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3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bCs w:val="0"/>
                        <w:color w:val="000000"/>
                        <w:sz w:val="20"/>
                        <w:szCs w:val="32"/>
                      </w:rPr>
                      <w:t>Olaj</w:t>
                    </w:r>
                  </w:p>
                </w:txbxContent>
              </v:textbox>
            </v:shape>
            <v:shape id="_x0000_s1166" type="#_x0000_t202" style="position:absolute;left:2203;top:3771;width:1308;height:432" filled="f" fillcolor="#960">
              <v:textbox style="mso-next-textbox:#_x0000_s1166" inset="1.60019mm,.80011mm,1.60019mm,.80011mm">
                <w:txbxContent>
                  <w:p w:rsidR="00000000" w:rsidRDefault="0060091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3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bCs w:val="0"/>
                        <w:color w:val="000000"/>
                        <w:sz w:val="20"/>
                        <w:szCs w:val="32"/>
                      </w:rPr>
                      <w:t>Földgáz</w:t>
                    </w:r>
                  </w:p>
                </w:txbxContent>
              </v:textbox>
            </v:shape>
            <v:shape id="_x0000_s1167" type="#_x0000_t202" style="position:absolute;left:2339;top:4315;width:1258;height:720" filled="f" fillcolor="#960">
              <v:textbox style="mso-next-textbox:#_x0000_s1167" inset="1.60019mm,.80011mm,1.60019mm,.80011mm">
                <w:txbxContent>
                  <w:p w:rsidR="00000000" w:rsidRDefault="0060091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3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bCs w:val="0"/>
                        <w:color w:val="000000"/>
                        <w:sz w:val="20"/>
                        <w:szCs w:val="32"/>
                      </w:rPr>
                      <w:t>Atom-energia</w:t>
                    </w:r>
                  </w:p>
                </w:txbxContent>
              </v:textbox>
            </v:shape>
            <v:shape id="_x0000_s1168" type="#_x0000_t202" style="position:absolute;left:2203;top:5767;width:1586;height:816" filled="f" fillcolor="#339">
              <v:textbox style="mso-next-textbox:#_x0000_s1168" inset="1.60019mm,.80011mm,1.60019mm,.80011mm">
                <w:txbxContent>
                  <w:p w:rsidR="00000000" w:rsidRDefault="0060091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3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bCs w:val="0"/>
                        <w:color w:val="000000"/>
                        <w:sz w:val="20"/>
                        <w:szCs w:val="32"/>
                      </w:rPr>
                      <w:t>Primer energia</w:t>
                    </w:r>
                  </w:p>
                </w:txbxContent>
              </v:textbox>
            </v:shape>
            <v:shape id="_x0000_s1169" type="#_x0000_t202" style="position:absolute;left:2203;top:6675;width:1740;height:704" filled="f" fillcolor="#339">
              <v:textbox style="mso-next-textbox:#_x0000_s1169" inset="1.60019mm,.80011mm,1.60019mm,.80011mm">
                <w:txbxContent>
                  <w:p w:rsidR="00000000" w:rsidRDefault="0060091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3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bCs w:val="0"/>
                        <w:color w:val="000000"/>
                        <w:sz w:val="20"/>
                        <w:szCs w:val="32"/>
                      </w:rPr>
                      <w:t>Szekunder energia</w:t>
                    </w:r>
                  </w:p>
                </w:txbxContent>
              </v:textbox>
            </v:shape>
            <v:shape id="_x0000_s1170" type="#_x0000_t202" style="position:absolute;left:2884;top:7581;width:1583;height:655" filled="f" fillcolor="#339">
              <v:textbox style="mso-next-textbox:#_x0000_s1170" inset="1.60019mm,.80011mm,1.60019mm,.80011mm">
                <w:txbxContent>
                  <w:p w:rsidR="00000000" w:rsidRDefault="0060091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3"/>
                        <w:szCs w:val="36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b/>
                        <w:bCs w:val="0"/>
                        <w:color w:val="000000"/>
                        <w:sz w:val="20"/>
                        <w:szCs w:val="32"/>
                      </w:rPr>
                      <w:t>Energia fogyasztók</w:t>
                    </w:r>
                    <w:proofErr w:type="gramEnd"/>
                  </w:p>
                </w:txbxContent>
              </v:textbox>
            </v:shape>
            <v:shape id="_x0000_s1171" type="#_x0000_t202" style="position:absolute;left:5155;top:8245;width:1296;height:432" filled="f" fillcolor="#c06">
              <v:textbox style="mso-next-textbox:#_x0000_s1171" inset="1.60019mm,.80011mm,1.60019mm,.80011mm">
                <w:txbxContent>
                  <w:p w:rsidR="00000000" w:rsidRDefault="0060091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3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bCs w:val="0"/>
                        <w:color w:val="000000"/>
                        <w:sz w:val="20"/>
                        <w:szCs w:val="32"/>
                      </w:rPr>
                      <w:t>Globális</w:t>
                    </w:r>
                  </w:p>
                </w:txbxContent>
              </v:textbox>
            </v:shape>
            <v:shape id="_x0000_s1172" type="#_x0000_t202" style="position:absolute;left:7171;top:8245;width:1728;height:432" filled="f" fillcolor="#c06">
              <v:textbox style="mso-next-textbox:#_x0000_s1172" inset="1.60019mm,.80011mm,1.60019mm,.80011mm">
                <w:txbxContent>
                  <w:p w:rsidR="00000000" w:rsidRDefault="0060091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3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bCs w:val="0"/>
                        <w:color w:val="000000"/>
                        <w:sz w:val="20"/>
                        <w:szCs w:val="32"/>
                      </w:rPr>
                      <w:t>Makroszint</w:t>
                    </w:r>
                    <w:r>
                      <w:rPr>
                        <w:rFonts w:ascii="Arial"/>
                        <w:b/>
                        <w:bCs w:val="0"/>
                        <w:color w:val="000000"/>
                        <w:sz w:val="20"/>
                        <w:szCs w:val="32"/>
                      </w:rPr>
                      <w:t>ű</w:t>
                    </w:r>
                  </w:p>
                </w:txbxContent>
              </v:textbox>
            </v:shape>
            <v:shape id="_x0000_s1173" type="#_x0000_t202" style="position:absolute;left:9475;top:8245;width:1664;height:432" filled="f" fillcolor="#c06">
              <v:textbox style="mso-next-textbox:#_x0000_s1173" inset="1.60019mm,.80011mm,1.60019mm,.80011mm">
                <w:txbxContent>
                  <w:p w:rsidR="00000000" w:rsidRDefault="0060091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3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bCs w:val="0"/>
                        <w:color w:val="000000"/>
                        <w:sz w:val="20"/>
                        <w:szCs w:val="32"/>
                      </w:rPr>
                      <w:t>Mikroszint</w:t>
                    </w:r>
                    <w:r>
                      <w:rPr>
                        <w:rFonts w:ascii="Arial"/>
                        <w:b/>
                        <w:bCs w:val="0"/>
                        <w:color w:val="000000"/>
                        <w:sz w:val="20"/>
                        <w:szCs w:val="32"/>
                      </w:rPr>
                      <w:t>ű</w:t>
                    </w:r>
                  </w:p>
                </w:txbxContent>
              </v:textbox>
            </v:shape>
            <v:shape id="_x0000_s1174" type="#_x0000_t202" style="position:absolute;left:11347;top:2485;width:2060;height:432" filled="f" fillcolor="#09c">
              <v:textbox style="mso-next-textbox:#_x0000_s1174" inset="1.60019mm,.80011mm,1.60019mm,.80011mm">
                <w:txbxContent>
                  <w:p w:rsidR="00000000" w:rsidRDefault="0060091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3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bCs w:val="0"/>
                        <w:color w:val="000000"/>
                        <w:sz w:val="20"/>
                        <w:szCs w:val="32"/>
                      </w:rPr>
                      <w:t>Infrastruktúra</w:t>
                    </w:r>
                  </w:p>
                </w:txbxContent>
              </v:textbox>
            </v:shape>
            <v:shape id="_x0000_s1175" type="#_x0000_t202" style="position:absolute;left:11501;top:3061;width:2150;height:432" filled="f" fillcolor="#09c">
              <v:textbox style="mso-next-textbox:#_x0000_s1175" inset="1.60019mm,.80011mm,1.60019mm,.80011mm">
                <w:txbxContent>
                  <w:p w:rsidR="00000000" w:rsidRDefault="0060091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3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bCs w:val="0"/>
                        <w:color w:val="000000"/>
                        <w:sz w:val="20"/>
                        <w:szCs w:val="32"/>
                      </w:rPr>
                      <w:t>Logisztikai mix</w:t>
                    </w:r>
                  </w:p>
                </w:txbxContent>
              </v:textbox>
            </v:shape>
            <v:shape id="_x0000_s1176" type="#_x0000_t202" style="position:absolute;left:11647;top:3681;width:2076;height:432" filled="f" fillcolor="#09c">
              <v:textbox style="mso-next-textbox:#_x0000_s1176" inset="1.60019mm,.80011mm,1.60019mm,.80011mm">
                <w:txbxContent>
                  <w:p w:rsidR="00000000" w:rsidRDefault="0060091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3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bCs w:val="0"/>
                        <w:color w:val="000000"/>
                        <w:sz w:val="20"/>
                        <w:szCs w:val="32"/>
                      </w:rPr>
                      <w:t>Energiatárolás</w:t>
                    </w:r>
                  </w:p>
                </w:txbxContent>
              </v:textbox>
            </v:shape>
            <v:shape id="_x0000_s1177" type="#_x0000_t202" style="position:absolute;left:11955;top:4225;width:1768;height:726" filled="f" fillcolor="#09c">
              <v:textbox style="mso-next-textbox:#_x0000_s1177" inset="1.60019mm,.80011mm,1.60019mm,.80011mm">
                <w:txbxContent>
                  <w:p w:rsidR="00000000" w:rsidRDefault="0060091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3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bCs w:val="0"/>
                        <w:color w:val="000000"/>
                        <w:sz w:val="20"/>
                        <w:szCs w:val="32"/>
                      </w:rPr>
                      <w:t>Decentrali-zált hálózat</w:t>
                    </w:r>
                  </w:p>
                </w:txbxContent>
              </v:textbox>
            </v:shape>
            <v:shape id="_x0000_s1178" type="#_x0000_t202" style="position:absolute;left:11411;top:7399;width:1722;height:432" filled="f" fillcolor="red">
              <v:textbox style="mso-next-textbox:#_x0000_s1178" inset="1.60019mm,.80011mm,1.60019mm,.80011mm">
                <w:txbxContent>
                  <w:p w:rsidR="00000000" w:rsidRDefault="0060091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3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bCs w:val="0"/>
                        <w:color w:val="000000"/>
                        <w:sz w:val="20"/>
                        <w:szCs w:val="32"/>
                      </w:rPr>
                      <w:t>Fogyasztás</w:t>
                    </w:r>
                  </w:p>
                </w:txbxContent>
              </v:textbox>
            </v:shape>
            <v:shape id="_x0000_s1179" type="#_x0000_t202" style="position:absolute;left:11863;top:6583;width:1452;height:432" filled="f" fillcolor="red">
              <v:textbox style="mso-next-textbox:#_x0000_s1179" inset="1.60019mm,.80011mm,1.60019mm,.80011mm">
                <w:txbxContent>
                  <w:p w:rsidR="00000000" w:rsidRDefault="0060091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3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bCs w:val="0"/>
                        <w:color w:val="000000"/>
                        <w:sz w:val="20"/>
                        <w:szCs w:val="32"/>
                      </w:rPr>
                      <w:t>Szállítás</w:t>
                    </w:r>
                  </w:p>
                </w:txbxContent>
              </v:textbox>
            </v:shape>
            <v:shape id="_x0000_s1180" type="#_x0000_t202" style="position:absolute;left:11937;top:5677;width:1560;height:432" filled="f" fillcolor="red">
              <v:textbox style="mso-next-textbox:#_x0000_s1180" inset="1.60019mm,.80011mm,1.60019mm,.80011mm">
                <w:txbxContent>
                  <w:p w:rsidR="00000000" w:rsidRDefault="0060091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3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bCs w:val="0"/>
                        <w:color w:val="000000"/>
                        <w:sz w:val="20"/>
                        <w:szCs w:val="32"/>
                      </w:rPr>
                      <w:t>Termelés</w:t>
                    </w:r>
                  </w:p>
                </w:txbxContent>
              </v:textbox>
            </v:shape>
            <v:oval id="_x0000_s1181" style="position:absolute;left:6603;top:4587;width:2304;height:1362" filled="f" fillcolor="black" strokecolor="#00c" strokeweight="6pt">
              <v:stroke opacity=".25"/>
            </v:oval>
            <v:oval id="_x0000_s1182" style="position:absolute;left:3715;top:2773;width:8208;height:5040" filled="f" strokecolor="#00c" strokeweight="3pt"/>
            <v:line id="_x0000_s1183" style="position:absolute" from="3715,2773" to="4579,4357" strokeweight="2.25pt">
              <v:stroke endarrow="block"/>
            </v:line>
            <v:line id="_x0000_s1184" style="position:absolute" from="3139,3349" to="4291,4357" strokeweight="2.25pt">
              <v:stroke endarrow="block"/>
            </v:line>
            <v:line id="_x0000_s1185" style="position:absolute" from="3517,4133" to="4147,4501" strokeweight="2.25pt">
              <v:stroke endarrow="block"/>
            </v:line>
            <v:line id="_x0000_s1186" style="position:absolute" from="3609,4587" to="4147,4645" strokeweight="2.25pt">
              <v:stroke endarrow="block"/>
            </v:line>
            <v:line id="_x0000_s1187" style="position:absolute" from="6019,2485" to="7027,3061" strokeweight="2.25pt">
              <v:stroke endarrow="block"/>
            </v:line>
            <v:line id="_x0000_s1188" style="position:absolute" from="7027,2485" to="7459,3061" strokeweight="2.25pt">
              <v:stroke endarrow="block"/>
            </v:line>
            <v:line id="_x0000_s1189" style="position:absolute" from="7747,2485" to="7747,3061" strokeweight="2.25pt">
              <v:stroke endarrow="block"/>
            </v:line>
            <v:line id="_x0000_s1190" style="position:absolute;flip:x" from="8035,2485" to="9187,3061" strokeweight="2.25pt">
              <v:stroke endarrow="block"/>
            </v:line>
            <v:line id="_x0000_s1191" style="position:absolute;flip:x" from="8467,2485" to="10483,3061" strokeweight="2.25pt">
              <v:stroke endarrow="block"/>
            </v:line>
            <v:line id="_x0000_s1192" style="position:absolute;flip:x" from="10915,2917" to="11347,4357" strokeweight="2.25pt">
              <v:stroke endarrow="block"/>
            </v:line>
            <v:line id="_x0000_s1193" style="position:absolute;flip:x" from="11203,3493" to="11779,4357" strokeweight="2.25pt">
              <v:stroke endarrow="block"/>
            </v:line>
            <v:line id="_x0000_s1194" style="position:absolute;flip:x" from="11491,4133" to="11955,4501" strokeweight="2.25pt">
              <v:stroke endarrow="block"/>
            </v:line>
            <v:line id="_x0000_s1195" style="position:absolute;flip:x" from="11491,4587" to="11955,4789" strokeweight="2.25pt">
              <v:stroke endarrow="block"/>
            </v:line>
            <v:line id="_x0000_s1196" style="position:absolute;flip:x y" from="11491,5941" to="11955,5949" strokeweight="2.25pt">
              <v:stroke endarrow="block"/>
            </v:line>
            <v:line id="_x0000_s1197" style="position:absolute;flip:x y" from="11491,6229" to="11863,6675" strokeweight="2.25pt">
              <v:stroke endarrow="block"/>
            </v:line>
            <v:line id="_x0000_s1198" style="position:absolute;flip:x y" from="10915,6373" to="11411,7399" strokeweight="2.25pt">
              <v:stroke endarrow="block"/>
            </v:line>
            <v:line id="_x0000_s1199" style="position:absolute;flip:x y" from="8611,7525" to="9475,8389" strokeweight="2.25pt">
              <v:stroke endarrow="block"/>
            </v:line>
            <v:line id="_x0000_s1200" style="position:absolute;flip:x y" from="7891,7525" to="7891,8245" strokeweight="2.25pt">
              <v:stroke endarrow="block"/>
            </v:line>
            <v:line id="_x0000_s1201" style="position:absolute;flip:y" from="6307,7525" to="7171,8245" strokeweight="2.25pt">
              <v:stroke endarrow="block"/>
            </v:line>
            <v:line id="_x0000_s1202" style="position:absolute;flip:y" from="3789,5941" to="4147,5949" strokeweight="2.25pt">
              <v:stroke endarrow="block"/>
            </v:line>
            <v:line id="_x0000_s1203" style="position:absolute;flip:y" from="3789,6229" to="4147,6675" strokeweight="2.25pt">
              <v:stroke endarrow="block"/>
            </v:line>
            <v:line id="_x0000_s1204" style="position:absolute;flip:y" from="4153,6373" to="4579,7581" strokeweight="2.25pt">
              <v:stroke endarrow="block"/>
            </v:line>
            <v:line id="_x0000_s1205" style="position:absolute" from="7747,3781" to="7747,4645" strokecolor="red" strokeweight="2.25pt">
              <v:stroke startarrow="block" endarrow="block"/>
            </v:line>
            <v:line id="_x0000_s1206" style="position:absolute" from="7747,5941" to="7747,6805" strokecolor="red" strokeweight="2.25pt">
              <v:stroke startarrow="block" endarrow="block"/>
            </v:line>
            <v:line id="_x0000_s1207" style="position:absolute;flip:x" from="5299,3349" to="6739,4357" strokecolor="red" strokeweight="2.25pt">
              <v:stroke startarrow="block" endarrow="block"/>
            </v:line>
            <v:line id="_x0000_s1208" style="position:absolute;flip:x" from="8899,6373" to="10195,7237" strokecolor="red" strokeweight="2.25pt">
              <v:stroke startarrow="block" endarrow="block"/>
            </v:line>
            <v:line id="_x0000_s1209" style="position:absolute" from="8899,3349" to="10339,4357" strokecolor="red" strokeweight="2.25pt">
              <v:stroke startarrow="block" endarrow="block"/>
            </v:line>
            <v:line id="_x0000_s1210" style="position:absolute" from="5443,6373" to="6739,7237" strokecolor="red" strokeweight="2.25pt">
              <v:stroke startarrow="block" endarrow="block"/>
            </v:line>
            <v:line id="_x0000_s1211" style="position:absolute" from="5299,5077" to="5299,5653" strokecolor="red" strokeweight="2.25pt">
              <v:stroke startarrow="block" endarrow="block"/>
            </v:line>
            <v:line id="_x0000_s1212" style="position:absolute" from="10483,5077" to="10483,5653" strokecolor="red" strokeweight="2.25pt">
              <v:stroke startarrow="block" endarrow="block"/>
            </v:line>
            <v:line id="_x0000_s1213" style="position:absolute" from="6307,4789" to="6739,5077" strokecolor="red" strokeweight="2.25pt">
              <v:stroke startarrow="block" endarrow="block"/>
            </v:line>
            <v:line id="_x0000_s1214" style="position:absolute" from="8755,5509" to="9331,5797" strokecolor="red" strokeweight="2.25pt">
              <v:stroke startarrow="block" endarrow="block"/>
            </v:line>
            <v:line id="_x0000_s1215" style="position:absolute;flip:x" from="6307,5585" to="6783,5941" strokecolor="red" strokeweight="2.25pt">
              <v:stroke startarrow="block" endarrow="block"/>
            </v:line>
            <v:line id="_x0000_s1216" style="position:absolute;flip:x" from="8755,4789" to="9331,5077" strokecolor="red" strokeweight="2.25pt">
              <v:stroke startarrow="block" endarrow="block"/>
            </v:line>
            <v:rect id="_x0000_s1217" style="position:absolute;left:3065;top:693;width:9970;height:457;v-text-anchor:middle" filled="f" fillcolor="#bbe0e3" stroked="f" strokecolor="yellow">
              <v:textbox inset="1.60019mm,.80011mm,1.60019mm,.80011mm">
                <w:txbxContent>
                  <w:p w:rsidR="00000000" w:rsidRDefault="0060091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</w:rPr>
                    </w:pPr>
                    <w:r>
                      <w:rPr>
                        <w:b/>
                        <w:bCs w:val="0"/>
                        <w:color w:val="000000"/>
                      </w:rPr>
                      <w:t>2. ábra: A fenntartható energiagazdálkodás rendszere</w:t>
                    </w:r>
                  </w:p>
                  <w:p w:rsidR="00000000" w:rsidRDefault="00600913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35"/>
                        <w:szCs w:val="56"/>
                      </w:rPr>
                    </w:pPr>
                  </w:p>
                </w:txbxContent>
              </v:textbox>
            </v:rect>
            <v:shape id="_x0000_s1218" type="#_x0000_t202" style="position:absolute;left:6774;top:4808;width:2049;height:990" filled="f" fillcolor="#bbe0e3" stroked="f">
              <v:textbox inset="1.60019mm,.80011mm,1.60019mm,.80011mm">
                <w:txbxContent>
                  <w:p w:rsidR="00000000" w:rsidRDefault="0060091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 w:val="0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 w:val="0"/>
                        <w:color w:val="000000"/>
                        <w:sz w:val="20"/>
                        <w:szCs w:val="20"/>
                      </w:rPr>
                      <w:t>Fenntartható energia-gazdálkodás</w:t>
                    </w:r>
                  </w:p>
                </w:txbxContent>
              </v:textbox>
            </v:shape>
            <w10:anchorlock/>
          </v:group>
        </w:pict>
      </w:r>
      <w:r>
        <w:rPr>
          <w:color w:val="000000"/>
          <w:sz w:val="20"/>
          <w:szCs w:val="20"/>
        </w:rPr>
        <w:t>Forrás: saját szerkesztés</w:t>
      </w:r>
    </w:p>
    <w:p w:rsidR="00000000" w:rsidRDefault="00600913">
      <w:pPr>
        <w:spacing w:before="120" w:after="120"/>
        <w:jc w:val="center"/>
        <w:rPr>
          <w:b/>
          <w:color w:val="000000"/>
        </w:rPr>
      </w:pPr>
      <w:r>
        <w:rPr>
          <w:b/>
          <w:noProof/>
          <w:color w:val="000000"/>
        </w:rPr>
      </w:r>
      <w:r>
        <w:rPr>
          <w:b/>
          <w:color w:val="000000"/>
        </w:rPr>
        <w:pict>
          <v:group id="_x0000_s1222" editas="canvas" style="width:453.6pt;height:327.35pt;mso-position-horizontal-relative:char;mso-position-vertical-relative:line" coordorigin="2203,113" coordsize="10888,7858">
            <o:lock v:ext="edit" aspectratio="t"/>
            <v:shape id="_x0000_s1223" type="#_x0000_t75" style="position:absolute;left:2203;top:113;width:10888;height:7858" o:preferrelative="f">
              <v:fill o:detectmouseclick="t"/>
              <v:path o:extrusionok="t" o:connecttype="none"/>
              <o:lock v:ext="edit" text="t"/>
            </v:shape>
            <v:rect id="_x0000_s1224" style="position:absolute;left:2477;top:113;width:10368;height:432;v-text-anchor:middle" filled="f" fillcolor="#bbe0e3" stroked="f">
              <v:textbox inset="1.70181mm,.85089mm,1.70181mm,.85089mm">
                <w:txbxContent>
                  <w:p w:rsidR="00000000" w:rsidRDefault="0060091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color w:val="000000"/>
                      </w:rPr>
                    </w:pPr>
                    <w:r>
                      <w:rPr>
                        <w:b/>
                        <w:color w:val="000000"/>
                      </w:rPr>
                      <w:t>3. ábra: A biomassza energetikai hasznosítása</w:t>
                    </w:r>
                  </w:p>
                </w:txbxContent>
              </v:textbox>
            </v:rect>
            <v:shape id="_x0000_s1225" type="#_x0000_t202" style="position:absolute;left:2295;top:1711;width:1451;height:464" filled="f" fillcolor="#bbe0e3">
              <v:textbox inset="1.70181mm,.85089mm,1.70181mm,.85089mm">
                <w:txbxContent>
                  <w:p w:rsidR="00000000" w:rsidRDefault="0060091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Cs w:val="36"/>
                      </w:rPr>
                      <w:t>Égetés</w:t>
                    </w:r>
                  </w:p>
                </w:txbxContent>
              </v:textbox>
            </v:shape>
            <v:shape id="_x0000_s1226" type="#_x0000_t202" style="position:absolute;left:4199;top:1711;width:1677;height:464" filled="f" fillcolor="#bbe0e3">
              <v:textbox inset="1.70181mm,.85089mm,1.70181mm,.85089mm">
                <w:txbxContent>
                  <w:p w:rsidR="00000000" w:rsidRDefault="0060091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Cs w:val="36"/>
                      </w:rPr>
                      <w:t>Gázosítás</w:t>
                    </w:r>
                  </w:p>
                </w:txbxContent>
              </v:textbox>
            </v:shape>
            <v:shape id="_x0000_s1227" type="#_x0000_t202" style="position:absolute;left:6195;top:1711;width:1452;height:464" filled="f" fillcolor="#bbe0e3">
              <v:textbox inset="1.70181mm,.85089mm,1.70181mm,.85089mm">
                <w:txbxContent>
                  <w:p w:rsidR="00000000" w:rsidRDefault="0060091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Cs w:val="36"/>
                      </w:rPr>
                      <w:t>Pirolízis</w:t>
                    </w:r>
                  </w:p>
                </w:txbxContent>
              </v:textbox>
            </v:shape>
            <v:shape id="_x0000_s1228" type="#_x0000_t202" style="position:absolute;left:7919;top:1711;width:1451;height:464" filled="f" fillcolor="#bbe0e3">
              <v:textbox inset="1.70181mm,.85089mm,1.70181mm,.85089mm">
                <w:txbxContent>
                  <w:p w:rsidR="00000000" w:rsidRDefault="0060091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Cs w:val="36"/>
                      </w:rPr>
                      <w:t>Feltárás</w:t>
                    </w:r>
                  </w:p>
                </w:txbxContent>
              </v:textbox>
            </v:shape>
            <v:shape id="_x0000_s1229" type="#_x0000_t202" style="position:absolute;left:9553;top:1711;width:1905;height:464" filled="f" fillcolor="#bbe0e3">
              <v:textbox inset="1.70181mm,.85089mm,1.70181mm,.85089mm">
                <w:txbxContent>
                  <w:p w:rsidR="00000000" w:rsidRDefault="0060091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Cs w:val="36"/>
                      </w:rPr>
                      <w:t>Fermentálás</w:t>
                    </w:r>
                  </w:p>
                </w:txbxContent>
              </v:textbox>
            </v:shape>
            <v:shape id="_x0000_s1230" type="#_x0000_t202" style="position:absolute;left:11639;top:1711;width:1452;height:464" filled="f" fillcolor="#bbe0e3">
              <v:textbox inset="1.70181mm,.85089mm,1.70181mm,.85089mm">
                <w:txbxContent>
                  <w:p w:rsidR="00000000" w:rsidRDefault="0060091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Cs w:val="36"/>
                      </w:rPr>
                      <w:t>Préselés</w:t>
                    </w:r>
                  </w:p>
                </w:txbxContent>
              </v:textbox>
            </v:shape>
            <v:shape id="_x0000_s1231" type="#_x0000_t202" style="position:absolute;left:3112;top:1167;width:3536;height:446" filled="f" fillcolor="#bbe0e3" stroked="f">
              <v:textbox inset="1.70181mm,.85089mm,1.70181mm,.85089mm">
                <w:txbxContent>
                  <w:p w:rsidR="00000000" w:rsidRDefault="0060091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Cs w:val="36"/>
                      </w:rPr>
                      <w:t>Termokémiai átalakítás</w:t>
                    </w:r>
                  </w:p>
                </w:txbxContent>
              </v:textbox>
            </v:shape>
            <v:shape id="_x0000_s1232" type="#_x0000_t202" style="position:absolute;left:8283;top:1167;width:3085;height:446" filled="f" fillcolor="#bbe0e3" stroked="f">
              <v:textbox inset="1.70181mm,.85089mm,1.70181mm,.85089mm">
                <w:txbxContent>
                  <w:p w:rsidR="00000000" w:rsidRDefault="0060091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Cs w:val="36"/>
                      </w:rPr>
                      <w:t>Biokémiai átalakítás</w:t>
                    </w:r>
                  </w:p>
                </w:txbxContent>
              </v:textbox>
            </v:shape>
            <v:rect id="_x0000_s1233" style="position:absolute;left:2203;top:1077;width:5534;height:1360;v-text-anchor:middle" fillcolor="#cf3">
              <v:fill opacity="23593f"/>
            </v:rect>
            <v:rect id="_x0000_s1234" style="position:absolute;left:7873;top:1077;width:3674;height:1360;v-text-anchor:middle" fillcolor="#cf3">
              <v:fill opacity="25559f"/>
            </v:rect>
            <v:shape id="_x0000_s1235" type="#_x0000_t202" style="position:absolute;left:2657;top:2892;width:998;height:446" filled="f" fillcolor="#bbe0e3" stroked="f">
              <v:textbox inset="1.70181mm,.85089mm,1.70181mm,.85089mm">
                <w:txbxContent>
                  <w:p w:rsidR="00000000" w:rsidRDefault="0060091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Cs w:val="36"/>
                      </w:rPr>
                      <w:t>Gőz</w:t>
                    </w:r>
                  </w:p>
                </w:txbxContent>
              </v:textbox>
            </v:shape>
            <v:shape id="_x0000_s1236" type="#_x0000_t202" style="position:absolute;left:4471;top:2892;width:998;height:446" filled="f" fillcolor="#bbe0e3" stroked="f">
              <v:textbox inset="1.70181mm,.85089mm,1.70181mm,.85089mm">
                <w:txbxContent>
                  <w:p w:rsidR="00000000" w:rsidRDefault="0060091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Cs w:val="36"/>
                      </w:rPr>
                      <w:t>Gáz</w:t>
                    </w:r>
                  </w:p>
                </w:txbxContent>
              </v:textbox>
            </v:shape>
            <v:shape id="_x0000_s1237" type="#_x0000_t202" style="position:absolute;left:5924;top:2892;width:997;height:446" filled="f" fillcolor="#bbe0e3" stroked="f">
              <v:textbox inset="1.70181mm,.85089mm,1.70181mm,.85089mm">
                <w:txbxContent>
                  <w:p w:rsidR="00000000" w:rsidRDefault="0060091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Cs w:val="36"/>
                      </w:rPr>
                      <w:t>Gáz</w:t>
                    </w:r>
                  </w:p>
                </w:txbxContent>
              </v:textbox>
            </v:shape>
            <v:shape id="_x0000_s1238" type="#_x0000_t202" style="position:absolute;left:6377;top:3435;width:998;height:447" filled="f" fillcolor="#bbe0e3" stroked="f">
              <v:textbox inset="1.70181mm,.85089mm,1.70181mm,.85089mm">
                <w:txbxContent>
                  <w:p w:rsidR="00000000" w:rsidRDefault="0060091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Cs w:val="36"/>
                      </w:rPr>
                      <w:t>Olaj</w:t>
                    </w:r>
                  </w:p>
                </w:txbxContent>
              </v:textbox>
            </v:shape>
            <v:shape id="_x0000_s1239" type="#_x0000_t202" style="position:absolute;left:6921;top:2892;width:1180;height:446" filled="f" fillcolor="#bbe0e3" stroked="f">
              <v:textbox inset="1.70181mm,.85089mm,1.70181mm,.85089mm">
                <w:txbxContent>
                  <w:p w:rsidR="00000000" w:rsidRDefault="0060091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Cs w:val="36"/>
                      </w:rPr>
                      <w:t>Faszén</w:t>
                    </w:r>
                  </w:p>
                </w:txbxContent>
              </v:textbox>
            </v:shape>
            <v:shape id="_x0000_s1240" type="#_x0000_t202" style="position:absolute;left:2567;top:4071;width:1178;height:778" filled="f" fillcolor="#bbe0e3" stroked="f">
              <v:textbox inset="1.70181mm,.85089mm,1.70181mm,.85089mm">
                <w:txbxContent>
                  <w:p w:rsidR="00000000" w:rsidRDefault="0060091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Cs w:val="36"/>
                      </w:rPr>
                      <w:t>Gőz-turbina</w:t>
                    </w:r>
                  </w:p>
                </w:txbxContent>
              </v:textbox>
            </v:shape>
            <v:shape id="_x0000_s1241" type="#_x0000_t202" style="position:absolute;left:3746;top:4071;width:1179;height:778" filled="f" fillcolor="#bbe0e3" stroked="f">
              <v:textbox inset="1.70181mm,.85089mm,1.70181mm,.85089mm">
                <w:txbxContent>
                  <w:p w:rsidR="00000000" w:rsidRDefault="0060091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Cs w:val="36"/>
                      </w:rPr>
                      <w:t>Gáz-turbina</w:t>
                    </w:r>
                  </w:p>
                </w:txbxContent>
              </v:textbox>
            </v:shape>
            <v:shape id="_x0000_s1242" type="#_x0000_t202" style="position:absolute;left:5107;top:4071;width:1451;height:778" filled="f" fillcolor="#bbe0e3" stroked="f">
              <v:textbox inset="1.70181mm,.85089mm,1.70181mm,.85089mm">
                <w:txbxContent>
                  <w:p w:rsidR="00000000" w:rsidRDefault="0060091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Cs w:val="36"/>
                      </w:rPr>
                      <w:t>Metanol/ hidrogén</w:t>
                    </w:r>
                  </w:p>
                </w:txbxContent>
              </v:textbox>
            </v:shape>
            <v:shape id="_x0000_s1243" type="#_x0000_t202" style="position:absolute;left:4199;top:5521;width:1905;height:778" filled="f" fillcolor="#bbe0e3" stroked="f">
              <v:textbox inset="1.70181mm,.85089mm,1.70181mm,.85089mm">
                <w:txbxContent>
                  <w:p w:rsidR="00000000" w:rsidRDefault="0060091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Cs w:val="36"/>
                      </w:rPr>
                      <w:t>Üzemanyag cella</w:t>
                    </w:r>
                  </w:p>
                </w:txbxContent>
              </v:textbox>
            </v:shape>
            <v:shape id="_x0000_s1244" type="#_x0000_t202" style="position:absolute;left:6467;top:4071;width:1178;height:778" filled="f" fillcolor="#bbe0e3" stroked="f">
              <v:textbox inset="1.70181mm,.85089mm,1.70181mm,.85089mm">
                <w:txbxContent>
                  <w:p w:rsidR="00000000" w:rsidRDefault="0060091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Cs w:val="36"/>
                      </w:rPr>
                      <w:t>Fel-javítás</w:t>
                    </w:r>
                  </w:p>
                </w:txbxContent>
              </v:textbox>
            </v:shape>
            <v:shape id="_x0000_s1245" type="#_x0000_t202" style="position:absolute;left:8009;top:2892;width:1180;height:446" filled="f" fillcolor="#bbe0e3" stroked="f">
              <v:textbox inset="1.70181mm,.85089mm,1.70181mm,.85089mm">
                <w:txbxContent>
                  <w:p w:rsidR="00000000" w:rsidRDefault="0060091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Cs w:val="36"/>
                      </w:rPr>
                      <w:t>Biogáz</w:t>
                    </w:r>
                  </w:p>
                </w:txbxContent>
              </v:textbox>
            </v:shape>
            <v:shape id="_x0000_s1246" type="#_x0000_t202" style="position:absolute;left:7829;top:4071;width:1180;height:778" filled="f" fillcolor="#bbe0e3" stroked="f">
              <v:textbox inset="1.70181mm,.85089mm,1.70181mm,.85089mm">
                <w:txbxContent>
                  <w:p w:rsidR="00000000" w:rsidRDefault="0060091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Cs w:val="36"/>
                      </w:rPr>
                      <w:t>Gáz-motor</w:t>
                    </w:r>
                  </w:p>
                </w:txbxContent>
              </v:textbox>
            </v:shape>
            <v:shape id="_x0000_s1247" type="#_x0000_t202" style="position:absolute;left:9825;top:4161;width:1450;height:447" filled="f" fillcolor="#bbe0e3" stroked="f">
              <v:textbox inset="1.70181mm,.85089mm,1.70181mm,.85089mm">
                <w:txbxContent>
                  <w:p w:rsidR="00000000" w:rsidRDefault="0060091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Cs w:val="36"/>
                      </w:rPr>
                      <w:t>Lepárlás</w:t>
                    </w:r>
                  </w:p>
                </w:txbxContent>
              </v:textbox>
            </v:shape>
            <v:shape id="_x0000_s1248" type="#_x0000_t202" style="position:absolute;left:9915;top:5521;width:1180;height:447" filled="f" fillcolor="#bbe0e3" stroked="f">
              <v:textbox inset="1.70181mm,.85089mm,1.70181mm,.85089mm">
                <w:txbxContent>
                  <w:p w:rsidR="00000000" w:rsidRDefault="0060091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Cs w:val="36"/>
                      </w:rPr>
                      <w:t>Etanol</w:t>
                    </w:r>
                  </w:p>
                </w:txbxContent>
              </v:textbox>
            </v:shape>
            <v:shape id="_x0000_s1249" type="#_x0000_t202" style="position:absolute;left:11911;top:4071;width:1180;height:778" filled="f" fillcolor="#bbe0e3" stroked="f">
              <v:textbox inset="1.70181mm,.85089mm,1.70181mm,.85089mm">
                <w:txbxContent>
                  <w:p w:rsidR="00000000" w:rsidRDefault="0060091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Cs w:val="36"/>
                      </w:rPr>
                      <w:t>Észte-rezés</w:t>
                    </w:r>
                  </w:p>
                </w:txbxContent>
              </v:textbox>
            </v:shape>
            <v:shape id="_x0000_s1250" type="#_x0000_t202" style="position:absolute;left:11639;top:5521;width:1452;height:447" filled="f" fillcolor="#bbe0e3" stroked="f">
              <v:textbox inset="1.70181mm,.85089mm,1.70181mm,.85089mm">
                <w:txbxContent>
                  <w:p w:rsidR="00000000" w:rsidRDefault="0060091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Cs w:val="36"/>
                      </w:rPr>
                      <w:t>Biodiesel</w:t>
                    </w:r>
                  </w:p>
                </w:txbxContent>
              </v:textbox>
            </v:shape>
            <v:shape id="_x0000_s1251" type="#_x0000_t202" style="position:absolute;left:6467;top:5521;width:1180;height:447" filled="f" fillcolor="#bbe0e3" stroked="f">
              <v:textbox inset="1.70181mm,.85089mm,1.70181mm,.85089mm">
                <w:txbxContent>
                  <w:p w:rsidR="00000000" w:rsidRDefault="0060091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Cs w:val="36"/>
                      </w:rPr>
                      <w:t>Diesel</w:t>
                    </w:r>
                  </w:p>
                </w:txbxContent>
              </v:textbox>
            </v:shape>
            <v:shape id="_x0000_s1252" type="#_x0000_t202" style="position:absolute;left:3202;top:7428;width:1541;height:447" filled="f" fillcolor="#bbe0e3" stroked="f">
              <v:textbox inset="1.70181mm,.85089mm,1.70181mm,.85089mm">
                <w:txbxContent>
                  <w:p w:rsidR="00000000" w:rsidRDefault="0060091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Cs w:val="36"/>
                      </w:rPr>
                      <w:t>Hő</w:t>
                    </w:r>
                  </w:p>
                </w:txbxContent>
              </v:textbox>
            </v:shape>
            <v:shape id="_x0000_s1253" type="#_x0000_t202" style="position:absolute;left:6558;top:7428;width:2995;height:447" filled="f" fillcolor="#bbe0e3" stroked="f">
              <v:textbox inset="1.70181mm,.85089mm,1.70181mm,.85089mm">
                <w:txbxContent>
                  <w:p w:rsidR="00000000" w:rsidRDefault="0060091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Cs w:val="36"/>
                      </w:rPr>
                      <w:t>Villamos energia</w:t>
                    </w:r>
                  </w:p>
                </w:txbxContent>
              </v:textbox>
            </v:shape>
            <v:shape id="_x0000_s1254" type="#_x0000_t202" style="position:absolute;left:10369;top:7428;width:2086;height:447" filled="f" fillcolor="#bbe0e3" stroked="f">
              <v:textbox inset="1.70181mm,.85089mm,1.70181mm,.85089mm">
                <w:txbxContent>
                  <w:p w:rsidR="00000000" w:rsidRDefault="0060091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Cs w:val="36"/>
                      </w:rPr>
                      <w:t>Üzemanyag</w:t>
                    </w:r>
                  </w:p>
                </w:txbxContent>
              </v:textbox>
            </v:shape>
            <v:roundrect id="_x0000_s1255" style="position:absolute;left:2203;top:7337;width:3630;height:634;v-text-anchor:middle" arcsize="10923f" fillcolor="#a3fba7">
              <v:fill opacity="19661f"/>
            </v:roundrect>
            <v:roundrect id="_x0000_s1256" style="position:absolute;left:6377;top:7337;width:3084;height:634;v-text-anchor:middle" arcsize="10923f" fillcolor="#a3fba7">
              <v:fill opacity="19661f"/>
            </v:roundrect>
            <v:roundrect id="_x0000_s1257" style="position:absolute;left:9825;top:7337;width:3084;height:634;v-text-anchor:middle" arcsize="10923f" fillcolor="#a3fba7">
              <v:fill opacity="19661f"/>
            </v:roundrect>
            <v:line id="_x0000_s1258" style="position:absolute" from="2477,2165" to="2477,7337" strokecolor="#3c3" strokeweight="4.5pt">
              <v:stroke endarrow="block"/>
            </v:line>
            <v:line id="_x0000_s1259" style="position:absolute" from="3111,4796" to="3111,7337" strokecolor="#3c3" strokeweight="4.5pt">
              <v:stroke endarrow="block"/>
            </v:line>
            <v:line id="_x0000_s1260" style="position:absolute" from="7103,6884" to="7103,7337" strokecolor="#3c3" strokeweight="4.5pt">
              <v:stroke endarrow="block"/>
            </v:line>
            <v:line id="_x0000_s1261" style="position:absolute" from="3111,6884" to="7103,6884" strokecolor="#3c3" strokeweight="4.5pt"/>
            <v:line id="_x0000_s1262" style="position:absolute" from="4109,4796" to="4109,6884" strokecolor="#3c3" strokeweight="4.5pt"/>
            <v:line id="_x0000_s1263" style="position:absolute" from="5197,6247" to="5197,6701" strokecolor="#3c3" strokeweight="4.5pt"/>
            <v:line id="_x0000_s1264" style="position:absolute" from="5197,6701" to="7919,6701" strokecolor="#3c3" strokeweight="4.5pt"/>
            <v:line id="_x0000_s1265" style="position:absolute" from="7919,6701" to="7919,7337" strokecolor="#3c3" strokeweight="4.5pt">
              <v:stroke endarrow="block"/>
            </v:line>
            <v:line id="_x0000_s1266" style="position:absolute" from="6105,4796" to="6105,6429" strokecolor="#3c3" strokeweight="4.5pt"/>
            <v:line id="_x0000_s1267" style="position:absolute" from="8463,4796" to="8463,6247" strokecolor="#3c3" strokeweight="4.5pt"/>
            <v:line id="_x0000_s1268" style="position:absolute" from="6105,6429" to="12455,6429" strokecolor="#3c3" strokeweight="4.5pt"/>
            <v:line id="_x0000_s1269" style="position:absolute" from="7011,5885" to="7011,6429" strokecolor="#3c3" strokeweight="4.5pt"/>
            <v:line id="_x0000_s1270" style="position:absolute" from="8917,3253" to="8917,6429" strokecolor="#3c3" strokeweight="4.5pt"/>
            <v:line id="_x0000_s1271" style="position:absolute" from="10551,5885" to="10551,6429" strokecolor="#3c3" strokeweight="4.5pt"/>
            <v:line id="_x0000_s1272" style="position:absolute" from="12455,5885" to="12455,6429" strokecolor="#3c3" strokeweight="4.5pt"/>
            <v:line id="_x0000_s1273" style="position:absolute" from="11275,6429" to="11275,7337" strokecolor="#3c3" strokeweight="4.5pt">
              <v:stroke endarrow="block"/>
            </v:line>
            <v:line id="_x0000_s1274" style="position:absolute" from="8463,6612" to="8463,7337" strokecolor="#3c3" strokeweight="4.5pt">
              <v:stroke endarrow="block"/>
            </v:line>
            <v:shape id="_x0000_s1275" style="position:absolute;left:8463;top:6247;width:182;height:365;mso-position-horizontal:absolute;mso-position-vertical:absolute" coordsize="91,182" path="m,c45,30,91,61,91,91v,30,-76,76,-91,91e" filled="f" fillcolor="#bbe0e3" strokecolor="#3c3" strokeweight="4.5pt">
              <v:path arrowok="t"/>
            </v:shape>
            <v:line id="_x0000_s1276" style="position:absolute" from="3111,2165" to="3111,2981">
              <v:stroke endarrow="block"/>
            </v:line>
            <v:line id="_x0000_s1277" style="position:absolute" from="3111,3345" to="3111,4161">
              <v:stroke endarrow="block"/>
            </v:line>
            <v:line id="_x0000_s1278" style="position:absolute" from="4925,2165" to="4925,2981">
              <v:stroke endarrow="block"/>
            </v:line>
            <v:line id="_x0000_s1279" style="position:absolute" from="4925,3253" to="4925,5613">
              <v:stroke endarrow="block"/>
            </v:line>
            <v:line id="_x0000_s1280" style="position:absolute" from="6467,2165" to="6467,2981">
              <v:stroke endarrow="block"/>
            </v:line>
            <v:line id="_x0000_s1281" style="position:absolute" from="6921,2165" to="6921,3525">
              <v:stroke endarrow="block"/>
            </v:line>
            <v:line id="_x0000_s1282" style="position:absolute" from="7285,2165" to="7285,2981">
              <v:stroke endarrow="block"/>
            </v:line>
            <v:line id="_x0000_s1283" style="position:absolute" from="7011,4796" to="7011,5612">
              <v:stroke endarrow="block"/>
            </v:line>
            <v:line id="_x0000_s1284" style="position:absolute" from="6921,3797" to="6921,4161">
              <v:stroke endarrow="block"/>
            </v:line>
            <v:line id="_x0000_s1285" style="position:absolute" from="7737,3253" to="7737,6429" strokecolor="#3c3" strokeweight="4.5pt"/>
            <v:line id="_x0000_s1286" style="position:absolute" from="5561,4796" to="5561,5612">
              <v:stroke endarrow="block"/>
            </v:line>
            <v:line id="_x0000_s1287" style="position:absolute" from="5561,3435" to="5561,4161">
              <v:stroke endarrow="block"/>
            </v:line>
            <v:line id="_x0000_s1288" style="position:absolute" from="4291,3435" to="4291,4161">
              <v:stroke endarrow="block"/>
            </v:line>
            <v:line id="_x0000_s1289" style="position:absolute" from="4291,3435" to="5561,3435"/>
            <v:line id="_x0000_s1290" style="position:absolute" from="6467,3253" to="6467,6612"/>
            <v:line id="_x0000_s1291" style="position:absolute" from="4291,6612" to="6467,6612"/>
            <v:line id="_x0000_s1292" style="position:absolute" from="4291,4796" to="4291,6612">
              <v:stroke startarrow="block"/>
            </v:line>
            <v:line id="_x0000_s1293" style="position:absolute" from="10551,2165" to="10551,4251">
              <v:stroke endarrow="block"/>
            </v:line>
            <v:line id="_x0000_s1294" style="position:absolute" from="10551,4524" to="10551,5613">
              <v:stroke endarrow="block"/>
            </v:line>
            <v:line id="_x0000_s1295" style="position:absolute" from="8463,2165" to="8463,2981">
              <v:stroke endarrow="block"/>
            </v:line>
            <v:line id="_x0000_s1296" style="position:absolute" from="8463,3253" to="8463,4161">
              <v:stroke endarrow="block"/>
            </v:line>
            <v:line id="_x0000_s1297" style="position:absolute" from="12455,2256" to="12455,4161">
              <v:stroke endarrow="block"/>
            </v:line>
            <v:line id="_x0000_s1298" style="position:absolute" from="12455,4796" to="12455,5613">
              <v:stroke endarrow="block"/>
            </v:line>
            <w10:anchorlock/>
          </v:group>
        </w:pict>
      </w:r>
    </w:p>
    <w:p w:rsidR="00000000" w:rsidRDefault="00600913">
      <w:pPr>
        <w:spacing w:before="120" w:after="1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Forrás: sa</w:t>
      </w:r>
      <w:r>
        <w:rPr>
          <w:color w:val="000000"/>
          <w:sz w:val="20"/>
          <w:szCs w:val="20"/>
        </w:rPr>
        <w:t>ját szerkesztés</w:t>
      </w:r>
    </w:p>
    <w:p w:rsidR="00000000" w:rsidRDefault="00600913">
      <w:pPr>
        <w:spacing w:before="120" w:after="120"/>
        <w:jc w:val="both"/>
        <w:rPr>
          <w:b/>
          <w:color w:val="000000"/>
        </w:rPr>
      </w:pPr>
    </w:p>
    <w:p w:rsidR="00000000" w:rsidRDefault="00600913">
      <w:pPr>
        <w:spacing w:before="120" w:after="120"/>
        <w:rPr>
          <w:b/>
          <w:color w:val="000000"/>
        </w:rPr>
      </w:pPr>
      <w:r>
        <w:rPr>
          <w:b/>
          <w:noProof/>
          <w:color w:val="000000"/>
        </w:rPr>
      </w:r>
      <w:r>
        <w:rPr>
          <w:b/>
          <w:color w:val="000000"/>
        </w:rPr>
        <w:pict>
          <v:group id="_x0000_s1151" editas="canvas" style="width:453.6pt;height:342.45pt;mso-position-horizontal-relative:char;mso-position-vertical-relative:line" coordorigin="2203,8034" coordsize="11520,8697">
            <o:lock v:ext="edit" aspectratio="t"/>
            <v:shape id="_x0000_s1150" type="#_x0000_t75" style="position:absolute;left:2203;top:8034;width:11520;height:8697" o:preferrelative="f">
              <v:fill o:detectmouseclick="t"/>
              <v:path o:extrusionok="t" o:connecttype="none"/>
              <o:lock v:ext="edit" text="t"/>
            </v:shape>
            <v:rect id="_x0000_s1129" style="position:absolute;left:2203;top:8034;width:11520;height:686;v-text-anchor:middle" filled="f" fillcolor="#bbe0e3" stroked="f">
              <v:textbox inset="1.60019mm,.80011mm,1.60019mm,.80011mm">
                <w:txbxContent>
                  <w:p w:rsidR="00000000" w:rsidRDefault="0060091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color w:val="000000"/>
                      </w:rPr>
                    </w:pPr>
                    <w:r>
                      <w:rPr>
                        <w:b/>
                        <w:color w:val="000000"/>
                      </w:rPr>
                      <w:t>4. ábra: Energetikai potenciálok</w:t>
                    </w:r>
                  </w:p>
                </w:txbxContent>
              </v:textbox>
            </v:rect>
            <v:oval id="_x0000_s1130" style="position:absolute;left:2793;top:8683;width:10340;height:5718;v-text-anchor:middle" fillcolor="#099"/>
            <v:oval id="_x0000_s1131" style="position:absolute;left:3789;top:9771;width:8348;height:4626;v-text-anchor:middle" fillcolor="#bbe0e3"/>
            <v:oval id="_x0000_s1132" style="position:absolute;left:4607;top:10677;width:6712;height:3722;v-text-anchor:middle" fillcolor="yellow"/>
            <v:oval id="_x0000_s1133" style="position:absolute;left:5632;top:11584;width:4800;height:2813;v-text-anchor:middle" fillcolor="#9c0">
              <v:textbox inset="1.60019mm,.80011mm,1.60019mm,.80011mm">
                <w:txbxContent>
                  <w:p w:rsidR="00000000" w:rsidRDefault="0060091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99CC00"/>
                        <w:sz w:val="23"/>
                        <w:szCs w:val="36"/>
                      </w:rPr>
                    </w:pPr>
                  </w:p>
                </w:txbxContent>
              </v:textbox>
            </v:oval>
            <v:shape id="_x0000_s1134" type="#_x0000_t202" style="position:absolute;left:5967;top:9045;width:4354;height:553" filled="f" fillcolor="#bbe0e3" stroked="f">
              <v:textbox inset="1.60019mm,.80011mm,1.60019mm,.80011mm">
                <w:txbxContent>
                  <w:p w:rsidR="00000000" w:rsidRDefault="0060091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 w:val="0"/>
                        <w:color w:val="FFFFFF"/>
                        <w:sz w:val="30"/>
                        <w:szCs w:val="48"/>
                      </w:rPr>
                    </w:pPr>
                    <w:r>
                      <w:rPr>
                        <w:rFonts w:ascii="Arial" w:hAnsi="Arial" w:cs="Arial"/>
                        <w:b/>
                        <w:bCs w:val="0"/>
                        <w:color w:val="FFFFFF"/>
                        <w:sz w:val="30"/>
                        <w:szCs w:val="48"/>
                      </w:rPr>
                      <w:t>Elméleti potenciál</w:t>
                    </w:r>
                  </w:p>
                </w:txbxContent>
              </v:textbox>
            </v:shape>
            <v:shape id="_x0000_s1135" type="#_x0000_t202" style="position:absolute;left:5333;top:10043;width:5444;height:479" filled="f" fillcolor="#bbe0e3" stroked="f">
              <v:textbox inset="1.60019mm,.80011mm,1.60019mm,.80011mm">
                <w:txbxContent>
                  <w:p w:rsidR="00000000" w:rsidRDefault="0060091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 w:val="0"/>
                        <w:color w:val="000000"/>
                        <w:sz w:val="25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bCs w:val="0"/>
                        <w:color w:val="000000"/>
                        <w:sz w:val="25"/>
                        <w:szCs w:val="40"/>
                      </w:rPr>
                      <w:t>Konverziós potenciál</w:t>
                    </w:r>
                  </w:p>
                </w:txbxContent>
              </v:textbox>
            </v:shape>
            <v:shape id="_x0000_s1136" type="#_x0000_t202" style="position:absolute;left:6239;top:10951;width:3720;height:479" filled="f" fillcolor="#bbe0e3" stroked="f">
              <v:textbox inset="1.60019mm,.80011mm,1.60019mm,.80011mm">
                <w:txbxContent>
                  <w:p w:rsidR="00000000" w:rsidRDefault="0060091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 w:val="0"/>
                        <w:color w:val="000000"/>
                        <w:sz w:val="25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bCs w:val="0"/>
                        <w:color w:val="000000"/>
                        <w:sz w:val="25"/>
                        <w:szCs w:val="40"/>
                      </w:rPr>
                      <w:t>Technikai potenciál</w:t>
                    </w:r>
                  </w:p>
                </w:txbxContent>
              </v:textbox>
            </v:shape>
            <v:shape id="_x0000_s1137" type="#_x0000_t202" style="position:absolute;left:6148;top:11947;width:3721;height:478" filled="f" fillcolor="teal" stroked="f">
              <v:textbox inset="1.60019mm,.80011mm,1.60019mm,.80011mm">
                <w:txbxContent>
                  <w:p w:rsidR="00000000" w:rsidRDefault="0060091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 w:val="0"/>
                        <w:color w:val="000000"/>
                        <w:sz w:val="25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bCs w:val="0"/>
                        <w:color w:val="000000"/>
                        <w:sz w:val="25"/>
                        <w:szCs w:val="40"/>
                      </w:rPr>
                      <w:t>Gazdasági potenciál</w:t>
                    </w:r>
                  </w:p>
                </w:txbxContent>
              </v:textbox>
            </v:shape>
            <v:shape id="_x0000_s1138" type="#_x0000_t202" style="position:absolute;left:2203;top:13943;width:2766;height:1121" filled="f" fillcolor="#bbe0e3" stroked="f">
              <v:textbox inset="1.60019mm,.80011mm,1.60019mm,.80011mm">
                <w:txbxContent>
                  <w:p w:rsidR="00000000" w:rsidRDefault="0060091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i/>
                        <w:iCs/>
                        <w:color w:val="000000"/>
                        <w:sz w:val="23"/>
                        <w:szCs w:val="36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23"/>
                        <w:szCs w:val="36"/>
                      </w:rPr>
                      <w:t>„Fizikailag rendelkezésre álló energ</w:t>
                    </w:r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23"/>
                        <w:szCs w:val="36"/>
                      </w:rPr>
                      <w:t>iamennyiség"</w:t>
                    </w:r>
                  </w:p>
                </w:txbxContent>
              </v:textbox>
            </v:shape>
            <v:shape id="_x0000_s1139" type="#_x0000_t202" style="position:absolute;left:10004;top:14216;width:3719;height:786" filled="f" fillcolor="#bbe0e3" stroked="f">
              <v:textbox inset="1.60019mm,.80011mm,1.60019mm,.80011mm">
                <w:txbxContent>
                  <w:p w:rsidR="00000000" w:rsidRDefault="0060091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i/>
                        <w:iCs/>
                        <w:color w:val="000000"/>
                        <w:sz w:val="23"/>
                        <w:szCs w:val="36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23"/>
                        <w:szCs w:val="36"/>
                      </w:rPr>
                      <w:t>„Adott technológiai szinten kiaknázható”</w:t>
                    </w:r>
                  </w:p>
                </w:txbxContent>
              </v:textbox>
            </v:shape>
            <v:shape id="_x0000_s1140" type="#_x0000_t202" style="position:absolute;left:10049;top:15395;width:2540;height:1121" filled="f" fillcolor="#bbe0e3" stroked="f">
              <v:textbox inset="1.60019mm,.80011mm,1.60019mm,.80011mm">
                <w:txbxContent>
                  <w:p w:rsidR="00000000" w:rsidRDefault="0060091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i/>
                        <w:iCs/>
                        <w:color w:val="000000"/>
                        <w:sz w:val="23"/>
                        <w:szCs w:val="36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23"/>
                        <w:szCs w:val="36"/>
                      </w:rPr>
                      <w:t>„Gazdaságosan kiaknázható potenciál”</w:t>
                    </w:r>
                  </w:p>
                </w:txbxContent>
              </v:textbox>
            </v:shape>
            <v:shape id="_x0000_s1141" type="#_x0000_t202" style="position:absolute;left:6148;top:15577;width:3721;height:1121" filled="f" fillcolor="#bbe0e3" stroked="f">
              <v:textbox inset="1.60019mm,.80011mm,1.60019mm,.80011mm">
                <w:txbxContent>
                  <w:p w:rsidR="00000000" w:rsidRDefault="0060091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i/>
                        <w:iCs/>
                        <w:color w:val="FF0000"/>
                        <w:sz w:val="23"/>
                        <w:szCs w:val="36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color w:val="FF0000"/>
                        <w:sz w:val="23"/>
                        <w:szCs w:val="36"/>
                      </w:rPr>
                      <w:t>„Társadalmi – ökológiai tényezőkkel összhangban kiaknázható potenciál”</w:t>
                    </w:r>
                  </w:p>
                </w:txbxContent>
              </v:textbox>
            </v:shape>
            <v:shape id="_x0000_s1142" type="#_x0000_t93" style="position:absolute;left:2157;top:12583;width:2540;height:180;rotation:90;v-text-anchor:middle" fillcolor="red"/>
            <v:shape id="_x0000_s1143" type="#_x0000_t93" style="position:absolute;left:8931;top:14105;width:2268;height:182;rotation:90;v-text-anchor:middle" fillcolor="red"/>
            <v:shape id="_x0000_s1144" type="#_x0000_t93" style="position:absolute;left:10504;top:13036;width:2176;height:182;rotation:90;v-text-anchor:middle" fillcolor="red"/>
            <v:oval id="_x0000_s1145" style="position:absolute;left:6089;top:12673;width:3885;height:1724;v-text-anchor:middle" fillcolor="#6f6">
              <v:textbox inset="1.60019mm,.80011mm,1.60019mm,.80011mm">
                <w:txbxContent>
                  <w:p w:rsidR="00000000" w:rsidRDefault="0060091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99CC00"/>
                        <w:sz w:val="23"/>
                        <w:szCs w:val="36"/>
                      </w:rPr>
                    </w:pPr>
                  </w:p>
                </w:txbxContent>
              </v:textbox>
            </v:oval>
            <v:shape id="_x0000_s1146" type="#_x0000_t202" style="position:absolute;left:6148;top:13309;width:3721;height:479" filled="f" fillcolor="#bbe0e3" stroked="f">
              <v:textbox inset="1.60019mm,.80011mm,1.60019mm,.80011mm">
                <w:txbxContent>
                  <w:p w:rsidR="00000000" w:rsidRDefault="0060091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 w:val="0"/>
                        <w:color w:val="000000"/>
                        <w:sz w:val="25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bCs w:val="0"/>
                        <w:color w:val="000000"/>
                        <w:sz w:val="25"/>
                        <w:szCs w:val="40"/>
                      </w:rPr>
                      <w:t>Fenntartható potenciál</w:t>
                    </w:r>
                  </w:p>
                </w:txbxContent>
              </v:textbox>
            </v:shape>
            <v:shape id="_x0000_s1147" type="#_x0000_t93" style="position:absolute;left:3882;top:14216;width:2540;height:182;rotation:90;v-text-anchor:middle" fillcolor="red"/>
            <v:shape id="_x0000_s1148" type="#_x0000_t202" style="position:absolute;left:2203;top:15577;width:3082;height:1121" filled="f" fillcolor="#bbe0e3" stroked="f">
              <v:textbox inset="1.60019mm,.80011mm,1.60019mm,.80011mm">
                <w:txbxContent>
                  <w:p w:rsidR="00000000" w:rsidRDefault="0060091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i/>
                        <w:iCs/>
                        <w:color w:val="000000"/>
                        <w:sz w:val="23"/>
                        <w:szCs w:val="36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23"/>
                        <w:szCs w:val="36"/>
                      </w:rPr>
                      <w:t>„Strukturál</w:t>
                    </w:r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23"/>
                        <w:szCs w:val="36"/>
                      </w:rPr>
                      <w:t>is korlátok között reálisan kiaknázható"</w:t>
                    </w:r>
                  </w:p>
                </w:txbxContent>
              </v:textbox>
            </v:shape>
            <v:shape id="_x0000_s1149" type="#_x0000_t93" style="position:absolute;left:7237;top:14579;width:1724;height:272;rotation:90;v-text-anchor:middle" fillcolor="red"/>
            <w10:anchorlock/>
          </v:group>
        </w:pict>
      </w:r>
    </w:p>
    <w:p w:rsidR="00000000" w:rsidRDefault="00600913">
      <w:pPr>
        <w:spacing w:before="120" w:after="1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Forrás: saját szerkesztés</w:t>
      </w:r>
    </w:p>
    <w:p w:rsidR="00600913" w:rsidRDefault="00600913"/>
    <w:sectPr w:rsidR="00600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513D"/>
    <w:multiLevelType w:val="hybridMultilevel"/>
    <w:tmpl w:val="51D6F39A"/>
    <w:lvl w:ilvl="0" w:tplc="6010C7E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F8FD8C">
      <w:start w:val="17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E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F06F6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0E48E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5A5DE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909C8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B0618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281A1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E97159"/>
    <w:multiLevelType w:val="hybridMultilevel"/>
    <w:tmpl w:val="F574F812"/>
    <w:lvl w:ilvl="0" w:tplc="29CE4F9E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B962ED"/>
    <w:multiLevelType w:val="hybridMultilevel"/>
    <w:tmpl w:val="C5FE4142"/>
    <w:lvl w:ilvl="0" w:tplc="E8689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3640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AAF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E28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822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921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36E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60E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548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9D83292"/>
    <w:multiLevelType w:val="hybridMultilevel"/>
    <w:tmpl w:val="A4B2E2F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C96448"/>
    <w:multiLevelType w:val="multilevel"/>
    <w:tmpl w:val="DC74D3F0"/>
    <w:lvl w:ilvl="0">
      <w:start w:val="6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BE7325"/>
    <w:multiLevelType w:val="hybridMultilevel"/>
    <w:tmpl w:val="572C838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B36640"/>
    <w:multiLevelType w:val="hybridMultilevel"/>
    <w:tmpl w:val="065E8F9C"/>
    <w:lvl w:ilvl="0" w:tplc="E1446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E8B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92A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84E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3A5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5CD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14F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820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B28B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3FD2C1E"/>
    <w:multiLevelType w:val="hybridMultilevel"/>
    <w:tmpl w:val="8BC0CC6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CD2E82"/>
    <w:multiLevelType w:val="hybridMultilevel"/>
    <w:tmpl w:val="E40053EA"/>
    <w:lvl w:ilvl="0" w:tplc="A8D6C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F24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52A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5C0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282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802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C20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F60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E89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E157811"/>
    <w:multiLevelType w:val="hybridMultilevel"/>
    <w:tmpl w:val="CF4665F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C7214B"/>
    <w:multiLevelType w:val="hybridMultilevel"/>
    <w:tmpl w:val="DC74D3F0"/>
    <w:lvl w:ilvl="0" w:tplc="155CB2AC">
      <w:start w:val="6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443857"/>
    <w:multiLevelType w:val="hybridMultilevel"/>
    <w:tmpl w:val="5D30608A"/>
    <w:lvl w:ilvl="0" w:tplc="1D244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E222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C04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CE9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A6B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662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5E6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48E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A20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4B14162"/>
    <w:multiLevelType w:val="hybridMultilevel"/>
    <w:tmpl w:val="DF7E8E18"/>
    <w:lvl w:ilvl="0" w:tplc="31A28174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EE45DD"/>
    <w:multiLevelType w:val="hybridMultilevel"/>
    <w:tmpl w:val="77B6EF62"/>
    <w:lvl w:ilvl="0" w:tplc="AA924BDA">
      <w:start w:val="4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232A56"/>
    <w:multiLevelType w:val="hybridMultilevel"/>
    <w:tmpl w:val="EC4EECE4"/>
    <w:lvl w:ilvl="0" w:tplc="3B605472">
      <w:start w:val="8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905C0F"/>
    <w:multiLevelType w:val="hybridMultilevel"/>
    <w:tmpl w:val="86F87790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F76EE7"/>
    <w:multiLevelType w:val="hybridMultilevel"/>
    <w:tmpl w:val="AE9ACB40"/>
    <w:lvl w:ilvl="0" w:tplc="D0F6212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8A1EA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26F5D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9C4EC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EA27E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C44DA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88111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28F23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CA9A1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F7D7C49"/>
    <w:multiLevelType w:val="hybridMultilevel"/>
    <w:tmpl w:val="7F18306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9358FB"/>
    <w:multiLevelType w:val="hybridMultilevel"/>
    <w:tmpl w:val="927065DA"/>
    <w:lvl w:ilvl="0" w:tplc="E550E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C057DA">
      <w:start w:val="17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E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826E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2A0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8E1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5CC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1A2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5CF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4AB3D24"/>
    <w:multiLevelType w:val="hybridMultilevel"/>
    <w:tmpl w:val="A61C346E"/>
    <w:lvl w:ilvl="0" w:tplc="3B60547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DE4D99"/>
    <w:multiLevelType w:val="hybridMultilevel"/>
    <w:tmpl w:val="6114ACE6"/>
    <w:lvl w:ilvl="0" w:tplc="DC100CE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A3215D"/>
    <w:multiLevelType w:val="hybridMultilevel"/>
    <w:tmpl w:val="D90EA17A"/>
    <w:lvl w:ilvl="0" w:tplc="8A763132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F73613"/>
    <w:multiLevelType w:val="hybridMultilevel"/>
    <w:tmpl w:val="7D8253D4"/>
    <w:lvl w:ilvl="0" w:tplc="2D8A8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360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C8B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9E5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2AAB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AC1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DA44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B08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DF93C0E"/>
    <w:multiLevelType w:val="hybridMultilevel"/>
    <w:tmpl w:val="E8025452"/>
    <w:lvl w:ilvl="0" w:tplc="56CC676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788BC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E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42E4B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3C942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BC5A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52CC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4AC5F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5CED4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FBD7E28"/>
    <w:multiLevelType w:val="hybridMultilevel"/>
    <w:tmpl w:val="2B14154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D30DCF"/>
    <w:multiLevelType w:val="hybridMultilevel"/>
    <w:tmpl w:val="ECE47D5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EC0144"/>
    <w:multiLevelType w:val="hybridMultilevel"/>
    <w:tmpl w:val="7988DC8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9C512B"/>
    <w:multiLevelType w:val="hybridMultilevel"/>
    <w:tmpl w:val="5E94DA92"/>
    <w:lvl w:ilvl="0" w:tplc="D21E7BA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D0444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50430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B45DD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DE7F8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BEDC6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F0C61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64E7F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AC52B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759112E1"/>
    <w:multiLevelType w:val="hybridMultilevel"/>
    <w:tmpl w:val="DF1EFE52"/>
    <w:lvl w:ilvl="0" w:tplc="DC100CE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3E4EB9"/>
    <w:multiLevelType w:val="hybridMultilevel"/>
    <w:tmpl w:val="AE3257EC"/>
    <w:lvl w:ilvl="0" w:tplc="7764BCD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22FE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BEBA6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AEBBB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E4E7E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A0C14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14B39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4ECC8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BCA5C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6"/>
  </w:num>
  <w:num w:numId="2">
    <w:abstractNumId w:val="7"/>
  </w:num>
  <w:num w:numId="3">
    <w:abstractNumId w:val="15"/>
  </w:num>
  <w:num w:numId="4">
    <w:abstractNumId w:val="2"/>
  </w:num>
  <w:num w:numId="5">
    <w:abstractNumId w:val="8"/>
  </w:num>
  <w:num w:numId="6">
    <w:abstractNumId w:val="6"/>
  </w:num>
  <w:num w:numId="7">
    <w:abstractNumId w:val="11"/>
  </w:num>
  <w:num w:numId="8">
    <w:abstractNumId w:val="18"/>
  </w:num>
  <w:num w:numId="9">
    <w:abstractNumId w:val="24"/>
  </w:num>
  <w:num w:numId="10">
    <w:abstractNumId w:val="13"/>
  </w:num>
  <w:num w:numId="11">
    <w:abstractNumId w:val="1"/>
  </w:num>
  <w:num w:numId="12">
    <w:abstractNumId w:val="5"/>
  </w:num>
  <w:num w:numId="13">
    <w:abstractNumId w:val="25"/>
  </w:num>
  <w:num w:numId="14">
    <w:abstractNumId w:val="22"/>
  </w:num>
  <w:num w:numId="15">
    <w:abstractNumId w:val="27"/>
  </w:num>
  <w:num w:numId="16">
    <w:abstractNumId w:val="29"/>
  </w:num>
  <w:num w:numId="17">
    <w:abstractNumId w:val="16"/>
  </w:num>
  <w:num w:numId="18">
    <w:abstractNumId w:val="23"/>
  </w:num>
  <w:num w:numId="19">
    <w:abstractNumId w:val="0"/>
  </w:num>
  <w:num w:numId="20">
    <w:abstractNumId w:val="9"/>
  </w:num>
  <w:num w:numId="21">
    <w:abstractNumId w:val="17"/>
  </w:num>
  <w:num w:numId="22">
    <w:abstractNumId w:val="3"/>
  </w:num>
  <w:num w:numId="23">
    <w:abstractNumId w:val="21"/>
  </w:num>
  <w:num w:numId="24">
    <w:abstractNumId w:val="20"/>
  </w:num>
  <w:num w:numId="25">
    <w:abstractNumId w:val="28"/>
  </w:num>
  <w:num w:numId="26">
    <w:abstractNumId w:val="12"/>
  </w:num>
  <w:num w:numId="27">
    <w:abstractNumId w:val="10"/>
  </w:num>
  <w:num w:numId="28">
    <w:abstractNumId w:val="19"/>
  </w:num>
  <w:num w:numId="29">
    <w:abstractNumId w:val="4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savePreviewPicture/>
  <w:compat/>
  <w:rsids>
    <w:rsidRoot w:val="00ED197D"/>
    <w:rsid w:val="00600913"/>
    <w:rsid w:val="00ED1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bCs/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rPr>
      <w:color w:val="0000FF"/>
      <w:u w:val="single"/>
    </w:rPr>
  </w:style>
  <w:style w:type="paragraph" w:styleId="NormlWeb">
    <w:name w:val="Normal (Web)"/>
    <w:basedOn w:val="Norml"/>
    <w:semiHidden/>
    <w:pPr>
      <w:spacing w:before="100" w:beforeAutospacing="1" w:after="100" w:afterAutospacing="1"/>
    </w:pPr>
    <w:rPr>
      <w:bCs w:val="0"/>
      <w:color w:val="000000"/>
    </w:rPr>
  </w:style>
  <w:style w:type="character" w:customStyle="1" w:styleId="fekete-folyo1">
    <w:name w:val="fekete-folyo1"/>
    <w:basedOn w:val="Bekezdsalapbettpusa"/>
    <w:rPr>
      <w:rFonts w:ascii="Verdana" w:hAnsi="Verdana" w:hint="default"/>
      <w:strike w:val="0"/>
      <w:dstrike w:val="0"/>
      <w:color w:val="545454"/>
      <w:sz w:val="24"/>
      <w:szCs w:val="24"/>
      <w:u w:val="none"/>
      <w:effect w:val="none"/>
    </w:rPr>
  </w:style>
  <w:style w:type="character" w:customStyle="1" w:styleId="szoveg-kozepe">
    <w:name w:val="szoveg-kozepe"/>
    <w:basedOn w:val="Bekezdsalapbettpusa"/>
  </w:style>
  <w:style w:type="paragraph" w:customStyle="1" w:styleId="Pa0">
    <w:name w:val="Pa0"/>
    <w:basedOn w:val="Norml"/>
    <w:next w:val="Norml"/>
    <w:pPr>
      <w:autoSpaceDE w:val="0"/>
      <w:autoSpaceDN w:val="0"/>
      <w:adjustRightInd w:val="0"/>
      <w:spacing w:line="361" w:lineRule="atLeast"/>
    </w:pPr>
    <w:rPr>
      <w:rFonts w:ascii="Verdana" w:hAnsi="Verdana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cc.ch/ipccreports/ar4-wg3.htm" TargetMode="External"/><Relationship Id="rId5" Type="http://schemas.openxmlformats.org/officeDocument/2006/relationships/hyperlink" Target="http://vod.niif.hu/player/index.php?q=1587/1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5232</Words>
  <Characters>36101</Characters>
  <Application>Microsoft Office Word</Application>
  <DocSecurity>0</DocSecurity>
  <Lines>300</Lines>
  <Paragraphs>82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Áttekintés a biomassza-alapú energiatermelés helyzetéről</vt:lpstr>
    </vt:vector>
  </TitlesOfParts>
  <Company>KRF</Company>
  <LinksUpToDate>false</LinksUpToDate>
  <CharactersWithSpaces>41251</CharactersWithSpaces>
  <SharedDoc>false</SharedDoc>
  <HLinks>
    <vt:vector size="12" baseType="variant">
      <vt:variant>
        <vt:i4>7995439</vt:i4>
      </vt:variant>
      <vt:variant>
        <vt:i4>3</vt:i4>
      </vt:variant>
      <vt:variant>
        <vt:i4>0</vt:i4>
      </vt:variant>
      <vt:variant>
        <vt:i4>5</vt:i4>
      </vt:variant>
      <vt:variant>
        <vt:lpwstr>http://www.ipcc.ch/ipccreports/ar4-wg3.htm</vt:lpwstr>
      </vt:variant>
      <vt:variant>
        <vt:lpwstr/>
      </vt:variant>
      <vt:variant>
        <vt:i4>4325445</vt:i4>
      </vt:variant>
      <vt:variant>
        <vt:i4>0</vt:i4>
      </vt:variant>
      <vt:variant>
        <vt:i4>0</vt:i4>
      </vt:variant>
      <vt:variant>
        <vt:i4>5</vt:i4>
      </vt:variant>
      <vt:variant>
        <vt:lpwstr>http://vod.niif.hu/player/index.php?q=1587/1M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Áttekintés a biomassza-alapú energiatermelés helyzetéről</dc:title>
  <dc:creator>ldinya</dc:creator>
  <cp:lastModifiedBy>Tóth</cp:lastModifiedBy>
  <cp:revision>2</cp:revision>
  <cp:lastPrinted>2009-01-14T11:56:00Z</cp:lastPrinted>
  <dcterms:created xsi:type="dcterms:W3CDTF">2016-10-24T14:10:00Z</dcterms:created>
  <dcterms:modified xsi:type="dcterms:W3CDTF">2016-10-24T14:10:00Z</dcterms:modified>
</cp:coreProperties>
</file>