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6BB0">
      <w:pPr>
        <w:pStyle w:val="Cm"/>
        <w:jc w:val="both"/>
        <w:rPr>
          <w:sz w:val="28"/>
          <w:u w:val="single"/>
        </w:rPr>
      </w:pPr>
      <w:r>
        <w:rPr>
          <w:sz w:val="28"/>
          <w:u w:val="single"/>
        </w:rPr>
        <w:t>Pellet, gyártás, felhasználás, forgalmazás mutatói és tendenciái</w:t>
      </w:r>
    </w:p>
    <w:p w:rsidR="00000000" w:rsidRDefault="00AF6BB0" w:rsidP="007A51F4">
      <w:pPr>
        <w:pStyle w:val="Nincstrkz"/>
      </w:pPr>
      <w:r>
        <w:t>Az adatokat a Magyar Pellet szövetség gyűjtötte össze</w:t>
      </w:r>
    </w:p>
    <w:p w:rsidR="007A51F4" w:rsidRDefault="007A51F4" w:rsidP="007A51F4">
      <w:pPr>
        <w:pStyle w:val="Nincstrkz"/>
      </w:pPr>
      <w:r>
        <w:t>2012.04.20.</w:t>
      </w:r>
    </w:p>
    <w:p w:rsidR="007A51F4" w:rsidRDefault="007A51F4" w:rsidP="007A51F4">
      <w:pPr>
        <w:pStyle w:val="Nincstrkz"/>
      </w:pPr>
    </w:p>
    <w:p w:rsidR="00000000" w:rsidRDefault="00AF6BB0">
      <w:pPr>
        <w:pStyle w:val="Cm"/>
      </w:pPr>
      <w:r>
        <w:t>Európai pellet</w:t>
      </w:r>
      <w:r w:rsidR="00FE512D">
        <w:t xml:space="preserve"> </w:t>
      </w:r>
      <w:r>
        <w:t>fogyasztás, prognózis</w:t>
      </w:r>
    </w:p>
    <w:p w:rsidR="00000000" w:rsidRDefault="00AF6BB0">
      <w:pPr>
        <w:pStyle w:val="Cm"/>
        <w:jc w:val="right"/>
        <w:rPr>
          <w:b w:val="0"/>
          <w:bCs w:val="0"/>
          <w:noProof/>
          <w:sz w:val="20"/>
          <w:lang w:eastAsia="hu-HU"/>
        </w:rPr>
      </w:pPr>
      <w:r>
        <w:rPr>
          <w:b w:val="0"/>
          <w:bCs w:val="0"/>
          <w:sz w:val="20"/>
        </w:rPr>
        <w:t xml:space="preserve">Forrás: </w:t>
      </w:r>
      <w:proofErr w:type="spellStart"/>
      <w:r>
        <w:rPr>
          <w:b w:val="0"/>
          <w:bCs w:val="0"/>
          <w:sz w:val="20"/>
        </w:rPr>
        <w:t>Staffan</w:t>
      </w:r>
      <w:proofErr w:type="spellEnd"/>
      <w:r>
        <w:rPr>
          <w:b w:val="0"/>
          <w:bCs w:val="0"/>
          <w:sz w:val="20"/>
        </w:rPr>
        <w:t xml:space="preserve"> </w:t>
      </w:r>
      <w:proofErr w:type="spellStart"/>
      <w:r>
        <w:rPr>
          <w:b w:val="0"/>
          <w:bCs w:val="0"/>
          <w:sz w:val="20"/>
        </w:rPr>
        <w:t>Melin</w:t>
      </w:r>
      <w:proofErr w:type="spellEnd"/>
      <w:r>
        <w:rPr>
          <w:b w:val="0"/>
          <w:bCs w:val="0"/>
          <w:sz w:val="20"/>
        </w:rPr>
        <w:t>, 2008. június</w:t>
      </w:r>
    </w:p>
    <w:p w:rsidR="00000000" w:rsidRDefault="00FE512D">
      <w:pPr>
        <w:jc w:val="center"/>
        <w:rPr>
          <w:rFonts w:ascii="Arial" w:hAnsi="Arial" w:cs="Arial"/>
          <w:noProof/>
          <w:lang w:eastAsia="hu-HU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5762625" cy="3819525"/>
            <wp:effectExtent l="19050" t="0" r="9525" b="0"/>
            <wp:docPr id="1" name="Kép 24" descr="E:\diagrammok\pellet fogyaszt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E:\diagrammok\pellet fogyasztá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pStyle w:val="Listaszerbekezds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Mely fűtési rendszerek kereskedelmi fellendülését várja a jövőb</w:t>
      </w:r>
      <w:r>
        <w:rPr>
          <w:rFonts w:ascii="Arial" w:hAnsi="Arial" w:cs="Arial"/>
          <w:b/>
          <w:bCs/>
          <w:sz w:val="24"/>
        </w:rPr>
        <w:t>en?</w:t>
      </w:r>
    </w:p>
    <w:p w:rsidR="00000000" w:rsidRDefault="00AF6BB0">
      <w:pPr>
        <w:pStyle w:val="Listaszerbekezds"/>
        <w:jc w:val="right"/>
        <w:rPr>
          <w:rFonts w:ascii="Arial" w:hAnsi="Arial" w:cs="Arial"/>
          <w:b/>
          <w:bCs/>
          <w:noProof/>
          <w:sz w:val="20"/>
          <w:lang w:eastAsia="hu-HU"/>
        </w:rPr>
      </w:pPr>
      <w:r>
        <w:rPr>
          <w:rFonts w:ascii="Arial" w:hAnsi="Arial" w:cs="Arial"/>
          <w:sz w:val="20"/>
        </w:rPr>
        <w:t>Forrás: DEPV felmérés (németországi piac)</w:t>
      </w:r>
    </w:p>
    <w:p w:rsidR="00000000" w:rsidRDefault="00FE512D">
      <w:pPr>
        <w:jc w:val="center"/>
        <w:rPr>
          <w:rFonts w:ascii="Arial" w:hAnsi="Arial" w:cs="Arial"/>
          <w:noProof/>
          <w:lang w:eastAsia="hu-HU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5762625" cy="3495675"/>
            <wp:effectExtent l="19050" t="0" r="9525" b="0"/>
            <wp:docPr id="2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3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b="-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pStyle w:val="Listaszerbekezds"/>
        <w:jc w:val="center"/>
        <w:rPr>
          <w:rFonts w:ascii="Arial" w:hAnsi="Arial" w:cs="Arial"/>
        </w:rPr>
      </w:pPr>
    </w:p>
    <w:p w:rsidR="00000000" w:rsidRDefault="00AF6BB0">
      <w:pPr>
        <w:pStyle w:val="Listaszerbekezds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Forrás: </w:t>
      </w:r>
      <w:proofErr w:type="spellStart"/>
      <w:r>
        <w:rPr>
          <w:rFonts w:ascii="Arial" w:hAnsi="Arial" w:cs="Arial"/>
          <w:sz w:val="20"/>
        </w:rPr>
        <w:t>PelletsAtlas</w:t>
      </w:r>
      <w:proofErr w:type="spellEnd"/>
    </w:p>
    <w:p w:rsidR="00000000" w:rsidRDefault="00FE512D">
      <w:pPr>
        <w:jc w:val="center"/>
        <w:rPr>
          <w:rFonts w:ascii="Arial" w:hAnsi="Arial" w:cs="Arial"/>
          <w:noProof/>
          <w:lang w:eastAsia="hu-HU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6419850" cy="4095750"/>
            <wp:effectExtent l="19050" t="0" r="0" b="0"/>
            <wp:docPr id="3" name="Kép 3" descr="pellet V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llet VA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pStyle w:val="Listaszerbekezds"/>
        <w:jc w:val="center"/>
        <w:rPr>
          <w:rFonts w:ascii="Arial" w:hAnsi="Arial" w:cs="Arial"/>
        </w:rPr>
      </w:pPr>
    </w:p>
    <w:p w:rsidR="00000000" w:rsidRDefault="00AF6BB0">
      <w:pPr>
        <w:pStyle w:val="Listaszerbekezds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Forrás: Pannon Pellet Kft, 2008.</w:t>
      </w:r>
    </w:p>
    <w:p w:rsidR="00000000" w:rsidRDefault="00FE512D">
      <w:pPr>
        <w:jc w:val="center"/>
        <w:rPr>
          <w:rFonts w:ascii="Arial" w:hAnsi="Arial" w:cs="Arial"/>
          <w:noProof/>
          <w:lang w:eastAsia="hu-HU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5619750" cy="3400425"/>
            <wp:effectExtent l="19050" t="0" r="0" b="0"/>
            <wp:docPr id="4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3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tabs>
          <w:tab w:val="left" w:pos="5040"/>
        </w:tabs>
        <w:jc w:val="center"/>
        <w:rPr>
          <w:rFonts w:ascii="Arial" w:hAnsi="Arial" w:cs="Arial"/>
        </w:rPr>
      </w:pPr>
    </w:p>
    <w:p w:rsidR="00000000" w:rsidRDefault="00AF6BB0">
      <w:pPr>
        <w:tabs>
          <w:tab w:val="left" w:pos="5040"/>
        </w:tabs>
        <w:jc w:val="center"/>
        <w:rPr>
          <w:rFonts w:ascii="Arial" w:hAnsi="Arial" w:cs="Arial"/>
        </w:rPr>
      </w:pPr>
    </w:p>
    <w:p w:rsidR="00000000" w:rsidRDefault="00AF6BB0">
      <w:pPr>
        <w:tabs>
          <w:tab w:val="left" w:pos="5040"/>
        </w:tabs>
        <w:jc w:val="center"/>
        <w:rPr>
          <w:rFonts w:ascii="Arial" w:hAnsi="Arial" w:cs="Arial"/>
        </w:rPr>
      </w:pPr>
    </w:p>
    <w:p w:rsidR="00000000" w:rsidRDefault="00AF6BB0">
      <w:pPr>
        <w:tabs>
          <w:tab w:val="left" w:pos="5040"/>
        </w:tabs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CO</w:t>
      </w:r>
      <w:r>
        <w:rPr>
          <w:rFonts w:ascii="Arial" w:hAnsi="Arial" w:cs="Arial"/>
          <w:b/>
          <w:bCs/>
          <w:sz w:val="24"/>
          <w:vertAlign w:val="subscript"/>
        </w:rPr>
        <w:t>2</w:t>
      </w:r>
      <w:r>
        <w:rPr>
          <w:rFonts w:ascii="Arial" w:hAnsi="Arial" w:cs="Arial"/>
          <w:b/>
          <w:bCs/>
          <w:sz w:val="24"/>
        </w:rPr>
        <w:t xml:space="preserve"> kibocsátás (kg/MWh) különböző fűtési módok esetén</w:t>
      </w:r>
    </w:p>
    <w:p w:rsidR="00000000" w:rsidRDefault="00AF6BB0">
      <w:pPr>
        <w:tabs>
          <w:tab w:val="left" w:pos="5040"/>
        </w:tabs>
        <w:jc w:val="righ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 xml:space="preserve">Forrás: </w:t>
      </w:r>
      <w:proofErr w:type="spellStart"/>
      <w:r>
        <w:rPr>
          <w:rFonts w:ascii="Arial" w:hAnsi="Arial" w:cs="Arial"/>
          <w:sz w:val="20"/>
        </w:rPr>
        <w:t>Öko-Institut</w:t>
      </w:r>
      <w:proofErr w:type="spellEnd"/>
    </w:p>
    <w:p w:rsidR="00000000" w:rsidRDefault="00FE512D">
      <w:pPr>
        <w:tabs>
          <w:tab w:val="center" w:pos="4536"/>
          <w:tab w:val="right" w:pos="9072"/>
        </w:tabs>
        <w:jc w:val="center"/>
        <w:rPr>
          <w:rFonts w:ascii="Arial" w:hAnsi="Arial" w:cs="Arial"/>
          <w:noProof/>
          <w:lang w:eastAsia="hu-HU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2705100" cy="3343275"/>
            <wp:effectExtent l="19050" t="0" r="0" b="0"/>
            <wp:docPr id="5" name="Kép 6" descr="C:\Users\User\AppData\Local\Microsoft\Windows\Temporary Internet Files\Content.Word\c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C:\Users\User\AppData\Local\Microsoft\Windows\Temporary Internet Files\Content.Word\c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pStyle w:val="Listaszerbekezds"/>
        <w:jc w:val="center"/>
        <w:rPr>
          <w:rFonts w:ascii="Arial" w:hAnsi="Arial" w:cs="Arial"/>
        </w:rPr>
      </w:pPr>
    </w:p>
    <w:p w:rsidR="00000000" w:rsidRDefault="00AF6BB0">
      <w:pPr>
        <w:pStyle w:val="Listaszerbekezds"/>
        <w:jc w:val="center"/>
        <w:rPr>
          <w:rFonts w:ascii="Arial" w:hAnsi="Arial" w:cs="Arial"/>
        </w:rPr>
      </w:pPr>
    </w:p>
    <w:p w:rsidR="00000000" w:rsidRDefault="00AF6BB0">
      <w:pPr>
        <w:pStyle w:val="Listaszerbekezds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CO</w:t>
      </w:r>
      <w:r>
        <w:rPr>
          <w:rFonts w:ascii="Arial" w:hAnsi="Arial" w:cs="Arial"/>
          <w:b/>
          <w:bCs/>
          <w:sz w:val="24"/>
          <w:vertAlign w:val="subscript"/>
        </w:rPr>
        <w:t>2</w:t>
      </w:r>
      <w:r>
        <w:rPr>
          <w:rFonts w:ascii="Arial" w:hAnsi="Arial" w:cs="Arial"/>
          <w:b/>
          <w:bCs/>
          <w:sz w:val="24"/>
        </w:rPr>
        <w:t xml:space="preserve"> kibocsátás különböző energiahordozók esetén</w:t>
      </w:r>
    </w:p>
    <w:p w:rsidR="00000000" w:rsidRDefault="00AF6BB0">
      <w:pPr>
        <w:pStyle w:val="Listaszerbekezds"/>
        <w:jc w:val="center"/>
        <w:rPr>
          <w:rFonts w:ascii="Arial" w:hAnsi="Arial" w:cs="Arial"/>
          <w:b/>
          <w:bCs/>
          <w:sz w:val="24"/>
        </w:rPr>
      </w:pPr>
    </w:p>
    <w:p w:rsidR="00000000" w:rsidRDefault="00FE512D">
      <w:pPr>
        <w:jc w:val="center"/>
        <w:rPr>
          <w:rFonts w:ascii="Arial" w:hAnsi="Arial" w:cs="Arial"/>
        </w:rPr>
      </w:pPr>
      <w:r>
        <w:rPr>
          <w:noProof/>
          <w:lang w:eastAsia="hu-HU"/>
        </w:rPr>
        <w:drawing>
          <wp:inline distT="0" distB="0" distL="0" distR="0">
            <wp:extent cx="5753100" cy="35052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pStyle w:val="Listaszerbekezds"/>
        <w:ind w:left="0"/>
        <w:jc w:val="center"/>
        <w:rPr>
          <w:rFonts w:ascii="Arial" w:hAnsi="Arial" w:cs="Arial"/>
        </w:rPr>
      </w:pPr>
    </w:p>
    <w:p w:rsidR="00000000" w:rsidRDefault="00AF6BB0">
      <w:pPr>
        <w:pStyle w:val="Listaszerbekezds"/>
        <w:ind w:left="0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Forrás: UNECE </w:t>
      </w:r>
      <w:r>
        <w:rPr>
          <w:rFonts w:ascii="Arial" w:hAnsi="Arial" w:cs="Arial"/>
          <w:sz w:val="20"/>
        </w:rPr>
        <w:t>2007</w:t>
      </w:r>
    </w:p>
    <w:p w:rsidR="00000000" w:rsidRDefault="00AF6BB0">
      <w:pPr>
        <w:pStyle w:val="Listaszerbekezds"/>
        <w:ind w:left="0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Ipari és energetikai fa igény Európában vs. rendelkezésre álló alapanyag</w:t>
      </w:r>
    </w:p>
    <w:p w:rsidR="00000000" w:rsidRDefault="00FE512D">
      <w:pPr>
        <w:pStyle w:val="Listaszerbekezds"/>
        <w:ind w:left="360"/>
        <w:jc w:val="center"/>
        <w:rPr>
          <w:rFonts w:ascii="Arial" w:hAnsi="Arial" w:cs="Arial"/>
          <w:noProof/>
          <w:lang w:eastAsia="hu-HU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6038850" cy="4333875"/>
            <wp:effectExtent l="19050" t="0" r="0" b="0"/>
            <wp:docPr id="7" name="Kép 7" descr="fakészlet magy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készlet magya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pStyle w:val="Cmsor1"/>
      </w:pPr>
      <w:r>
        <w:t>Néhány füstgáz-összetevő és környezeti hatásaik</w:t>
      </w:r>
    </w:p>
    <w:p w:rsidR="00000000" w:rsidRDefault="00AF6BB0">
      <w:pPr>
        <w:jc w:val="right"/>
        <w:rPr>
          <w:sz w:val="20"/>
        </w:rPr>
      </w:pPr>
      <w:r>
        <w:rPr>
          <w:rFonts w:ascii="Arial" w:hAnsi="Arial" w:cs="Arial"/>
          <w:sz w:val="20"/>
        </w:rPr>
        <w:t>Forrás: EUBIA</w:t>
      </w:r>
    </w:p>
    <w:p w:rsidR="00000000" w:rsidRDefault="00FE512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5762625" cy="2990850"/>
            <wp:effectExtent l="19050" t="0" r="9525" b="0"/>
            <wp:docPr id="8" name="Kép 2" descr="E:\diagrammok\emisszió hatása(G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E:\diagrammok\emisszió hatása(GM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pStyle w:val="Szvegtrzs"/>
      </w:pPr>
    </w:p>
    <w:p w:rsidR="00000000" w:rsidRDefault="00AF6BB0">
      <w:pPr>
        <w:pStyle w:val="Szvegtrzs"/>
      </w:pPr>
      <w:r>
        <w:t>Pellet tüzelőberendezések értékesítési adatai Európában (pellet kandalló + pellet kazán)</w:t>
      </w:r>
    </w:p>
    <w:p w:rsidR="00000000" w:rsidRDefault="00AF6BB0">
      <w:pPr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Forrás</w:t>
      </w:r>
      <w:proofErr w:type="gramStart"/>
      <w:r>
        <w:rPr>
          <w:rFonts w:ascii="Arial" w:hAnsi="Arial" w:cs="Arial"/>
          <w:sz w:val="20"/>
        </w:rPr>
        <w:t>:  AEBIOM</w:t>
      </w:r>
      <w:proofErr w:type="gram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ProPe</w:t>
      </w:r>
      <w:r>
        <w:rPr>
          <w:rFonts w:ascii="Arial" w:hAnsi="Arial" w:cs="Arial"/>
          <w:sz w:val="20"/>
        </w:rPr>
        <w:t>llets</w:t>
      </w:r>
      <w:proofErr w:type="spellEnd"/>
      <w:r>
        <w:rPr>
          <w:rFonts w:ascii="Arial" w:hAnsi="Arial" w:cs="Arial"/>
          <w:sz w:val="20"/>
        </w:rPr>
        <w:t>, DEPV adatai alapján MPE, 2009</w:t>
      </w:r>
    </w:p>
    <w:p w:rsidR="00000000" w:rsidRDefault="00FE512D">
      <w:pPr>
        <w:pStyle w:val="Listaszerbekezds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6353175" cy="3914775"/>
            <wp:effectExtent l="0" t="0" r="0" b="0"/>
            <wp:docPr id="9" name="Diagra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2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l="-1572" t="-11899" r="-7559" b="-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pStyle w:val="Listaszerbekezds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Európai országok gáztermelése és koncepcionális előrejelzés</w:t>
      </w:r>
    </w:p>
    <w:p w:rsidR="00000000" w:rsidRDefault="00AF6BB0">
      <w:pPr>
        <w:pStyle w:val="Listaszerbekezds"/>
        <w:jc w:val="righ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 xml:space="preserve">Forrás: The </w:t>
      </w:r>
      <w:proofErr w:type="spellStart"/>
      <w:r>
        <w:rPr>
          <w:rFonts w:ascii="Arial" w:hAnsi="Arial" w:cs="Arial"/>
          <w:sz w:val="20"/>
        </w:rPr>
        <w:t>OilDrum</w:t>
      </w:r>
      <w:proofErr w:type="spellEnd"/>
    </w:p>
    <w:p w:rsidR="00000000" w:rsidRDefault="00FE512D">
      <w:pPr>
        <w:pStyle w:val="Listaszerbekezds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5953125" cy="3409950"/>
            <wp:effectExtent l="19050" t="0" r="9525" b="0"/>
            <wp:docPr id="10" name="Kép 4" descr="E:\diagrammok\O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E:\diagrammok\OEC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96" t="6908" r="783" b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ind w:left="360"/>
        <w:jc w:val="center"/>
        <w:rPr>
          <w:rFonts w:ascii="Arial" w:hAnsi="Arial" w:cs="Arial"/>
          <w:sz w:val="8"/>
          <w:szCs w:val="8"/>
        </w:rPr>
      </w:pPr>
    </w:p>
    <w:p w:rsidR="00000000" w:rsidRDefault="00AF6BB0">
      <w:pPr>
        <w:pStyle w:val="Listaszerbekezds"/>
        <w:ind w:left="360"/>
        <w:jc w:val="center"/>
        <w:rPr>
          <w:rFonts w:ascii="Arial" w:hAnsi="Arial" w:cs="Arial"/>
        </w:rPr>
      </w:pPr>
    </w:p>
    <w:p w:rsidR="00000000" w:rsidRDefault="00AF6BB0">
      <w:pPr>
        <w:pStyle w:val="Listaszerbekezds"/>
        <w:ind w:left="36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Nemzetközi biomassza kereskedelem</w:t>
      </w:r>
    </w:p>
    <w:p w:rsidR="00000000" w:rsidRDefault="00AF6BB0">
      <w:pPr>
        <w:pStyle w:val="Listaszerbekezds"/>
        <w:ind w:left="36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Forrás: </w:t>
      </w:r>
      <w:proofErr w:type="spellStart"/>
      <w:r>
        <w:rPr>
          <w:rFonts w:ascii="Arial" w:hAnsi="Arial" w:cs="Arial"/>
        </w:rPr>
        <w:t>Eurostat</w:t>
      </w:r>
      <w:proofErr w:type="spellEnd"/>
    </w:p>
    <w:p w:rsidR="00000000" w:rsidRDefault="00FE512D">
      <w:pPr>
        <w:pStyle w:val="Listaszerbekezds"/>
        <w:jc w:val="center"/>
        <w:rPr>
          <w:rFonts w:ascii="Arial" w:hAnsi="Arial" w:cs="Arial"/>
          <w:highlight w:val="red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5762625" cy="4276725"/>
            <wp:effectExtent l="19050" t="0" r="9525" b="0"/>
            <wp:docPr id="11" name="Kép 18" descr="C:\Users\User\AppData\Local\Microsoft\Windows\Temporary Internet Files\Content.Word\pellet piac 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C:\Users\User\AppData\Local\Microsoft\Windows\Temporary Internet Files\Content.Word\pellet piac E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pStyle w:val="Listaszerbekezds"/>
        <w:ind w:left="36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Tényleges és várható </w:t>
      </w:r>
      <w:proofErr w:type="spellStart"/>
      <w:r>
        <w:rPr>
          <w:rFonts w:ascii="Arial" w:hAnsi="Arial" w:cs="Arial"/>
          <w:b/>
          <w:bCs/>
          <w:sz w:val="24"/>
        </w:rPr>
        <w:t>pelletfogyasztás</w:t>
      </w:r>
      <w:proofErr w:type="spellEnd"/>
      <w:r>
        <w:rPr>
          <w:rFonts w:ascii="Arial" w:hAnsi="Arial" w:cs="Arial"/>
          <w:b/>
          <w:bCs/>
          <w:sz w:val="24"/>
        </w:rPr>
        <w:t xml:space="preserve"> egyes EU országokban </w:t>
      </w:r>
    </w:p>
    <w:p w:rsidR="00000000" w:rsidRDefault="00AF6BB0">
      <w:pPr>
        <w:jc w:val="right"/>
        <w:rPr>
          <w:rFonts w:ascii="Arial" w:hAnsi="Arial" w:cs="Arial"/>
        </w:rPr>
      </w:pPr>
      <w:r>
        <w:rPr>
          <w:rFonts w:ascii="Arial" w:hAnsi="Arial" w:cs="Arial"/>
          <w:sz w:val="20"/>
        </w:rPr>
        <w:t>Forrás: MPE, 2009</w:t>
      </w:r>
    </w:p>
    <w:p w:rsidR="00000000" w:rsidRDefault="00FE512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5753100" cy="3381375"/>
            <wp:effectExtent l="19050" t="0" r="0" b="0"/>
            <wp:docPr id="12" name="Kép 12" descr="pellet fogyasztá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llet fogyasztás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pStyle w:val="Listaszerbekezds"/>
        <w:jc w:val="right"/>
        <w:rPr>
          <w:rFonts w:ascii="Arial" w:hAnsi="Arial" w:cs="Arial"/>
          <w:sz w:val="20"/>
        </w:rPr>
      </w:pPr>
    </w:p>
    <w:p w:rsidR="00000000" w:rsidRDefault="00AF6BB0">
      <w:pPr>
        <w:pStyle w:val="Listaszerbekezds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Oroszország gáztermelésének csökkenő exportaránya</w:t>
      </w:r>
    </w:p>
    <w:p w:rsidR="00000000" w:rsidRDefault="00AF6BB0">
      <w:pPr>
        <w:pStyle w:val="Listaszerbekezds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Forrás: The </w:t>
      </w:r>
      <w:proofErr w:type="spellStart"/>
      <w:r>
        <w:rPr>
          <w:rFonts w:ascii="Arial" w:hAnsi="Arial" w:cs="Arial"/>
          <w:sz w:val="20"/>
        </w:rPr>
        <w:t>OilDrum</w:t>
      </w:r>
      <w:proofErr w:type="spellEnd"/>
      <w:r>
        <w:rPr>
          <w:rFonts w:ascii="Arial" w:hAnsi="Arial" w:cs="Arial"/>
          <w:sz w:val="20"/>
        </w:rPr>
        <w:t>, 2009</w:t>
      </w:r>
    </w:p>
    <w:p w:rsidR="00000000" w:rsidRDefault="00FE512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5619750" cy="2981325"/>
            <wp:effectExtent l="19050" t="0" r="0" b="0"/>
            <wp:docPr id="13" name="Kép 27" descr="E:\diagrammok\russia_gas_(G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7" descr="E:\diagrammok\russia_gas_(GM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29" t="10435" r="783" b="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pStyle w:val="Listaszerbekezds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Kumulált Orosz, Ukrán, Türkmén és Üzbég </w:t>
      </w:r>
      <w:proofErr w:type="gramStart"/>
      <w:r>
        <w:rPr>
          <w:rFonts w:ascii="Arial" w:hAnsi="Arial" w:cs="Arial"/>
          <w:b/>
          <w:bCs/>
          <w:sz w:val="24"/>
        </w:rPr>
        <w:t>földgáz fogyasztás</w:t>
      </w:r>
      <w:proofErr w:type="gramEnd"/>
      <w:r>
        <w:rPr>
          <w:rFonts w:ascii="Arial" w:hAnsi="Arial" w:cs="Arial"/>
          <w:b/>
          <w:bCs/>
          <w:sz w:val="24"/>
        </w:rPr>
        <w:t xml:space="preserve"> és termelés</w:t>
      </w:r>
    </w:p>
    <w:p w:rsidR="00000000" w:rsidRDefault="00AF6BB0">
      <w:pPr>
        <w:pStyle w:val="Listaszerbekezds"/>
        <w:jc w:val="center"/>
        <w:rPr>
          <w:rFonts w:ascii="Arial" w:hAnsi="Arial" w:cs="Arial"/>
          <w:b/>
          <w:bCs/>
          <w:sz w:val="24"/>
        </w:rPr>
      </w:pPr>
    </w:p>
    <w:p w:rsidR="00000000" w:rsidRDefault="00FE512D">
      <w:pPr>
        <w:jc w:val="center"/>
        <w:rPr>
          <w:rFonts w:ascii="Arial" w:hAnsi="Arial" w:cs="Arial"/>
          <w:noProof/>
          <w:lang w:eastAsia="hu-HU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5400675" cy="3143250"/>
            <wp:effectExtent l="19050" t="0" r="9525" b="0"/>
            <wp:docPr id="14" name="Kép 28" descr="E:\diagrammok\Russia+Ukraine+Stan Nat Gas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 descr="E:\diagrammok\Russia+Ukraine+Stan Nat Gas_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94" t="1804" r="949" b="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F6BB0">
      <w:pPr>
        <w:jc w:val="center"/>
        <w:rPr>
          <w:rFonts w:ascii="Arial" w:hAnsi="Arial" w:cs="Arial"/>
        </w:rPr>
      </w:pPr>
    </w:p>
    <w:p w:rsidR="00000000" w:rsidRDefault="00AF6BB0">
      <w:pPr>
        <w:ind w:left="720"/>
      </w:pPr>
    </w:p>
    <w:p w:rsidR="00000000" w:rsidRDefault="00AF6BB0">
      <w:pPr>
        <w:ind w:left="720"/>
      </w:pPr>
    </w:p>
    <w:p w:rsidR="00000000" w:rsidRDefault="00AF6BB0">
      <w:pPr>
        <w:ind w:left="720"/>
      </w:pPr>
    </w:p>
    <w:p w:rsidR="00AF6BB0" w:rsidRDefault="00AF6BB0">
      <w:pPr>
        <w:ind w:left="720"/>
      </w:pPr>
    </w:p>
    <w:sectPr w:rsidR="00AF6BB0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31631"/>
    <w:multiLevelType w:val="hybridMultilevel"/>
    <w:tmpl w:val="E43E9DC6"/>
    <w:lvl w:ilvl="0" w:tplc="112C21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0A7138"/>
    <w:multiLevelType w:val="hybridMultilevel"/>
    <w:tmpl w:val="CCB857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175F42"/>
    <w:multiLevelType w:val="hybridMultilevel"/>
    <w:tmpl w:val="CCB857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FE512D"/>
    <w:rsid w:val="007A51F4"/>
    <w:rsid w:val="00AF6BB0"/>
    <w:rsid w:val="00FE5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qFormat/>
    <w:pPr>
      <w:keepNext/>
      <w:jc w:val="center"/>
      <w:outlineLvl w:val="0"/>
    </w:pPr>
    <w:rPr>
      <w:rFonts w:ascii="Arial" w:hAnsi="Arial" w:cs="Arial"/>
      <w:b/>
      <w:bCs/>
      <w:sz w:val="24"/>
    </w:rPr>
  </w:style>
  <w:style w:type="character" w:default="1" w:styleId="Bekezdsalapbettpusa">
    <w:name w:val="Default Paragraph Font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semiHidden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qFormat/>
    <w:pPr>
      <w:ind w:left="720"/>
      <w:contextualSpacing/>
    </w:pPr>
  </w:style>
  <w:style w:type="paragraph" w:styleId="lfej">
    <w:name w:val="header"/>
    <w:basedOn w:val="Norml"/>
    <w:semiHidden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semiHidden/>
    <w:rPr>
      <w:rFonts w:ascii="Times New Roman" w:eastAsia="Times New Roman" w:hAnsi="Times New Roman"/>
      <w:sz w:val="24"/>
      <w:szCs w:val="24"/>
    </w:rPr>
  </w:style>
  <w:style w:type="paragraph" w:styleId="Cm">
    <w:name w:val="Title"/>
    <w:basedOn w:val="Norml"/>
    <w:qFormat/>
    <w:pPr>
      <w:jc w:val="center"/>
    </w:pPr>
    <w:rPr>
      <w:rFonts w:ascii="Arial" w:hAnsi="Arial" w:cs="Arial"/>
      <w:b/>
      <w:bCs/>
      <w:sz w:val="24"/>
    </w:rPr>
  </w:style>
  <w:style w:type="paragraph" w:styleId="Szvegtrzs">
    <w:name w:val="Body Text"/>
    <w:basedOn w:val="Norml"/>
    <w:semiHidden/>
    <w:pPr>
      <w:jc w:val="center"/>
    </w:pPr>
    <w:rPr>
      <w:rFonts w:ascii="Arial" w:hAnsi="Arial" w:cs="Arial"/>
      <w:b/>
      <w:bCs/>
      <w:sz w:val="24"/>
    </w:rPr>
  </w:style>
  <w:style w:type="paragraph" w:styleId="Nincstrkz">
    <w:name w:val="No Spacing"/>
    <w:uiPriority w:val="1"/>
    <w:qFormat/>
    <w:rsid w:val="007A51F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151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Mellékletlista</vt:lpstr>
    </vt:vector>
  </TitlesOfParts>
  <Company/>
  <LinksUpToDate>false</LinksUpToDate>
  <CharactersWithSpaces>1194</CharactersWithSpaces>
  <SharedDoc>false</SharedDoc>
  <HLinks>
    <vt:vector size="18" baseType="variant">
      <vt:variant>
        <vt:i4>8323128</vt:i4>
      </vt:variant>
      <vt:variant>
        <vt:i4>1676</vt:i4>
      </vt:variant>
      <vt:variant>
        <vt:i4>1027</vt:i4>
      </vt:variant>
      <vt:variant>
        <vt:i4>1</vt:i4>
      </vt:variant>
      <vt:variant>
        <vt:lpwstr>pellet VAT</vt:lpwstr>
      </vt:variant>
      <vt:variant>
        <vt:lpwstr/>
      </vt:variant>
      <vt:variant>
        <vt:i4>14483469</vt:i4>
      </vt:variant>
      <vt:variant>
        <vt:i4>2204</vt:i4>
      </vt:variant>
      <vt:variant>
        <vt:i4>1031</vt:i4>
      </vt:variant>
      <vt:variant>
        <vt:i4>1</vt:i4>
      </vt:variant>
      <vt:variant>
        <vt:lpwstr>fakészlet magyar</vt:lpwstr>
      </vt:variant>
      <vt:variant>
        <vt:lpwstr/>
      </vt:variant>
      <vt:variant>
        <vt:i4>11796539</vt:i4>
      </vt:variant>
      <vt:variant>
        <vt:i4>3068</vt:i4>
      </vt:variant>
      <vt:variant>
        <vt:i4>1038</vt:i4>
      </vt:variant>
      <vt:variant>
        <vt:i4>1</vt:i4>
      </vt:variant>
      <vt:variant>
        <vt:lpwstr>pellet fogyasztás2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Mellékletlista</dc:title>
  <dc:creator>User</dc:creator>
  <cp:lastModifiedBy>Tóth</cp:lastModifiedBy>
  <cp:revision>3</cp:revision>
  <dcterms:created xsi:type="dcterms:W3CDTF">2016-10-29T15:28:00Z</dcterms:created>
  <dcterms:modified xsi:type="dcterms:W3CDTF">2016-10-29T15:30:00Z</dcterms:modified>
</cp:coreProperties>
</file>