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5E81">
      <w:pPr>
        <w:pStyle w:val="Cmsor1"/>
        <w:jc w:val="center"/>
        <w:rPr>
          <w:b/>
          <w:bCs/>
        </w:rPr>
      </w:pPr>
      <w:r>
        <w:rPr>
          <w:b/>
          <w:bCs/>
        </w:rPr>
        <w:t>A vidéki önkormányzatok intézményeiben a gázfűtés kiváltás lehetős</w:t>
      </w:r>
      <w:r>
        <w:rPr>
          <w:b/>
          <w:bCs/>
        </w:rPr>
        <w:t>é</w:t>
      </w:r>
      <w:r>
        <w:rPr>
          <w:b/>
          <w:bCs/>
        </w:rPr>
        <w:t>ge (Koncepció)</w:t>
      </w:r>
    </w:p>
    <w:p w:rsidR="00A72932" w:rsidRDefault="00A72932" w:rsidP="00A72932">
      <w:pPr>
        <w:rPr>
          <w:sz w:val="28"/>
          <w:szCs w:val="28"/>
        </w:rPr>
      </w:pPr>
    </w:p>
    <w:p w:rsidR="00A72932" w:rsidRDefault="00A72932" w:rsidP="00A72932">
      <w:pPr>
        <w:rPr>
          <w:sz w:val="28"/>
          <w:szCs w:val="28"/>
        </w:rPr>
      </w:pPr>
      <w:r w:rsidRPr="00A72932">
        <w:rPr>
          <w:sz w:val="28"/>
          <w:szCs w:val="28"/>
        </w:rPr>
        <w:t xml:space="preserve">Bitesz </w:t>
      </w:r>
      <w:r>
        <w:rPr>
          <w:sz w:val="28"/>
          <w:szCs w:val="28"/>
        </w:rPr>
        <w:t>– Regionális Fejlesztési Holding együttes javaslat</w:t>
      </w:r>
    </w:p>
    <w:p w:rsidR="00A72932" w:rsidRDefault="00A72932" w:rsidP="00A72932">
      <w:pPr>
        <w:rPr>
          <w:sz w:val="28"/>
          <w:szCs w:val="28"/>
        </w:rPr>
      </w:pPr>
      <w:r>
        <w:rPr>
          <w:sz w:val="28"/>
          <w:szCs w:val="28"/>
        </w:rPr>
        <w:t>2009.09.17.</w:t>
      </w:r>
    </w:p>
    <w:p w:rsidR="00A72932" w:rsidRPr="00A72932" w:rsidRDefault="00A72932" w:rsidP="00A72932">
      <w:pPr>
        <w:rPr>
          <w:sz w:val="28"/>
          <w:szCs w:val="28"/>
        </w:rPr>
      </w:pPr>
    </w:p>
    <w:p w:rsidR="00000000" w:rsidRDefault="00795E81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Az ország 3 200–at meghaladó (Budapesten kívüli) önkormányzatának 95%-ában az intézm</w:t>
      </w:r>
      <w:r>
        <w:rPr>
          <w:sz w:val="28"/>
        </w:rPr>
        <w:t>é</w:t>
      </w:r>
      <w:r>
        <w:rPr>
          <w:sz w:val="28"/>
        </w:rPr>
        <w:t>nyek fűtése földgázzal történik. Ez – felmérésünk szerint</w:t>
      </w:r>
      <w:r>
        <w:rPr>
          <w:rStyle w:val="Lbjegyzet-hivatkozs"/>
          <w:sz w:val="28"/>
        </w:rPr>
        <w:footnoteReference w:id="1"/>
      </w:r>
      <w:r>
        <w:rPr>
          <w:sz w:val="28"/>
        </w:rPr>
        <w:t xml:space="preserve"> – mintegy 450 millió m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földg</w:t>
      </w:r>
      <w:r>
        <w:rPr>
          <w:sz w:val="28"/>
        </w:rPr>
        <w:t>áz felhasználását jelenti, amely k</w:t>
      </w:r>
      <w:r>
        <w:rPr>
          <w:sz w:val="28"/>
        </w:rPr>
        <w:t>ö</w:t>
      </w:r>
      <w:r>
        <w:rPr>
          <w:sz w:val="28"/>
        </w:rPr>
        <w:t>zelítően 60 milliárd Ft-tal terheli az önkormányzatok költségvetését, éve</w:t>
      </w:r>
      <w:r>
        <w:rPr>
          <w:sz w:val="28"/>
        </w:rPr>
        <w:t>n</w:t>
      </w:r>
      <w:r>
        <w:rPr>
          <w:sz w:val="28"/>
        </w:rPr>
        <w:t>te. E helységek döntő többségében közösségi fűtőmű (távfűtés) ni</w:t>
      </w:r>
      <w:r>
        <w:rPr>
          <w:sz w:val="28"/>
        </w:rPr>
        <w:t>n</w:t>
      </w:r>
      <w:r>
        <w:rPr>
          <w:sz w:val="28"/>
        </w:rPr>
        <w:t>cs. A kisebb településeken az alacsony „fogyasztó sűrűség” (nagy t</w:t>
      </w:r>
      <w:r>
        <w:rPr>
          <w:sz w:val="28"/>
        </w:rPr>
        <w:t>á</w:t>
      </w:r>
      <w:r>
        <w:rPr>
          <w:sz w:val="28"/>
        </w:rPr>
        <w:t>volságok) miatt</w:t>
      </w:r>
      <w:r>
        <w:rPr>
          <w:sz w:val="28"/>
        </w:rPr>
        <w:t xml:space="preserve"> a fűtőmű kiépítésének gazdaságossága is vitatható. Mi</w:t>
      </w:r>
      <w:r>
        <w:rPr>
          <w:sz w:val="28"/>
        </w:rPr>
        <w:t>n</w:t>
      </w:r>
      <w:r>
        <w:rPr>
          <w:sz w:val="28"/>
        </w:rPr>
        <w:t>tegy 2 700- ra tehető azon önkormányzatok száma, ahol az intézmények fűtését egy</w:t>
      </w:r>
      <w:r>
        <w:rPr>
          <w:sz w:val="28"/>
        </w:rPr>
        <w:t>e</w:t>
      </w:r>
      <w:r>
        <w:rPr>
          <w:sz w:val="28"/>
        </w:rPr>
        <w:t>di – gázüzemű – berendezésekkel oldják meg.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A gázfűtés kiváltása mindenképpen kívánatos. (Ennek bizonyításától, m</w:t>
      </w:r>
      <w:r>
        <w:rPr>
          <w:sz w:val="28"/>
        </w:rPr>
        <w:t>i</w:t>
      </w:r>
      <w:r>
        <w:rPr>
          <w:sz w:val="28"/>
        </w:rPr>
        <w:t>vel a</w:t>
      </w:r>
      <w:r>
        <w:rPr>
          <w:sz w:val="28"/>
        </w:rPr>
        <w:t>z indokok mindenki által ismertek, itt eltekintünk.) Erre három lehe</w:t>
      </w:r>
      <w:r>
        <w:rPr>
          <w:sz w:val="28"/>
        </w:rPr>
        <w:t>t</w:t>
      </w:r>
      <w:r>
        <w:rPr>
          <w:sz w:val="28"/>
        </w:rPr>
        <w:t>séges módszer kínálkozik.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Ahol közösségi fűtőmű van, vagy termálvíz - vagy az gazdaságosan kitermelhető – ennek cé</w:t>
      </w:r>
      <w:r>
        <w:rPr>
          <w:sz w:val="28"/>
        </w:rPr>
        <w:t>l</w:t>
      </w:r>
      <w:r>
        <w:rPr>
          <w:sz w:val="28"/>
        </w:rPr>
        <w:t>szerű prioritást adni.</w:t>
      </w: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 xml:space="preserve">Szóba jöhet a földhő hasznosítása (hőszivattyús </w:t>
      </w:r>
      <w:r>
        <w:rPr>
          <w:sz w:val="28"/>
        </w:rPr>
        <w:t>rendszer), ez azo</w:t>
      </w:r>
      <w:r>
        <w:rPr>
          <w:sz w:val="28"/>
        </w:rPr>
        <w:t>n</w:t>
      </w:r>
      <w:r>
        <w:rPr>
          <w:sz w:val="28"/>
        </w:rPr>
        <w:t>ban elsődlegesen új létesítményeknél ajánlható. (Utólagos beépítés gazdaságossága vitatható.)</w:t>
      </w: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Általánosan alkalmazható a gázfűtés t</w:t>
      </w:r>
      <w:r>
        <w:rPr>
          <w:sz w:val="28"/>
        </w:rPr>
        <w:t>ü</w:t>
      </w:r>
      <w:r>
        <w:rPr>
          <w:sz w:val="28"/>
        </w:rPr>
        <w:t>zelhető biomassza fűtésre történő átá</w:t>
      </w:r>
      <w:r>
        <w:rPr>
          <w:sz w:val="28"/>
        </w:rPr>
        <w:t>l</w:t>
      </w:r>
      <w:r>
        <w:rPr>
          <w:sz w:val="28"/>
        </w:rPr>
        <w:t>lítása.</w:t>
      </w:r>
    </w:p>
    <w:p w:rsidR="00000000" w:rsidRDefault="00795E81">
      <w:pPr>
        <w:ind w:left="1080"/>
        <w:jc w:val="both"/>
        <w:rPr>
          <w:sz w:val="28"/>
        </w:rPr>
      </w:pPr>
    </w:p>
    <w:p w:rsidR="00000000" w:rsidRDefault="00795E81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Magyarországon óriási mennyiségben képződik évente tüzelhet</w:t>
      </w:r>
      <w:r>
        <w:rPr>
          <w:sz w:val="28"/>
        </w:rPr>
        <w:t>ő bi</w:t>
      </w:r>
      <w:r>
        <w:rPr>
          <w:sz w:val="28"/>
        </w:rPr>
        <w:t>o</w:t>
      </w:r>
      <w:r>
        <w:rPr>
          <w:sz w:val="28"/>
        </w:rPr>
        <w:t>ma</w:t>
      </w:r>
      <w:r>
        <w:rPr>
          <w:sz w:val="28"/>
        </w:rPr>
        <w:t>s</w:t>
      </w:r>
      <w:r>
        <w:rPr>
          <w:sz w:val="28"/>
        </w:rPr>
        <w:t xml:space="preserve">sza. Ezzel a különféle energiapolitikai koncepciók számolnak is. </w:t>
      </w:r>
      <w:r>
        <w:rPr>
          <w:rStyle w:val="Lbjegyzet-hivatkozs"/>
          <w:sz w:val="28"/>
        </w:rPr>
        <w:footnoteReference w:id="2"/>
      </w:r>
      <w:r>
        <w:rPr>
          <w:sz w:val="28"/>
        </w:rPr>
        <w:t xml:space="preserve"> A tüzelhető biomassza energetikai felhasználásában – valószínűsíthetően a hazai megújuló energiafelhasználás helytelenül kialakított támogatási rendszere miatt – a szemléletben prio</w:t>
      </w:r>
      <w:r>
        <w:rPr>
          <w:sz w:val="28"/>
        </w:rPr>
        <w:t>ritást kapott a biomasszából történő elektromos energia előállítása. Ez azonban csak egészen kivételes esete</w:t>
      </w:r>
      <w:r>
        <w:rPr>
          <w:sz w:val="28"/>
        </w:rPr>
        <w:t>k</w:t>
      </w:r>
      <w:r>
        <w:rPr>
          <w:sz w:val="28"/>
        </w:rPr>
        <w:t>be lehet aján</w:t>
      </w:r>
      <w:r>
        <w:rPr>
          <w:sz w:val="28"/>
        </w:rPr>
        <w:t>l</w:t>
      </w:r>
      <w:r>
        <w:rPr>
          <w:sz w:val="28"/>
        </w:rPr>
        <w:t>ható,</w:t>
      </w:r>
      <w:r>
        <w:rPr>
          <w:rStyle w:val="Lbjegyzet-hivatkozs"/>
          <w:sz w:val="28"/>
        </w:rPr>
        <w:footnoteReference w:id="3"/>
      </w:r>
      <w:r>
        <w:rPr>
          <w:sz w:val="28"/>
        </w:rPr>
        <w:t>mert: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Az elsődleges energia kihozatal itt a legkisebb (maximum 30%).</w:t>
      </w: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lastRenderedPageBreak/>
        <w:t>A keletkező másodlagos energia (hulladékhő) mennyisége és</w:t>
      </w:r>
      <w:r>
        <w:rPr>
          <w:sz w:val="28"/>
        </w:rPr>
        <w:t xml:space="preserve"> fo</w:t>
      </w:r>
      <w:r>
        <w:rPr>
          <w:sz w:val="28"/>
        </w:rPr>
        <w:t>r</w:t>
      </w:r>
      <w:r>
        <w:rPr>
          <w:sz w:val="28"/>
        </w:rPr>
        <w:t>mája (a víz alacsony hőmérséklete) csak nagyon nehezen, vagy egyáltalán nem hasznosítható.</w:t>
      </w: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 xml:space="preserve">Az erőművek gazdaságos üzem mérete </w:t>
      </w:r>
      <w:r>
        <w:rPr>
          <w:rStyle w:val="Lbjegyzet-hivatkozs"/>
          <w:sz w:val="28"/>
        </w:rPr>
        <w:footnoteReference w:id="4"/>
      </w:r>
      <w:r>
        <w:rPr>
          <w:sz w:val="28"/>
        </w:rPr>
        <w:t xml:space="preserve"> miatt olyan mennyisége</w:t>
      </w:r>
      <w:r>
        <w:rPr>
          <w:sz w:val="28"/>
        </w:rPr>
        <w:t>k</w:t>
      </w:r>
      <w:r>
        <w:rPr>
          <w:sz w:val="28"/>
        </w:rPr>
        <w:t>kel kellene dolgozni, amelyek óriási logisztikai feladatot jelent.</w:t>
      </w:r>
    </w:p>
    <w:p w:rsidR="00000000" w:rsidRDefault="00795E81">
      <w:pPr>
        <w:ind w:left="1080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biomasszára alapozott elektromo</w:t>
      </w:r>
      <w:r>
        <w:rPr>
          <w:sz w:val="28"/>
        </w:rPr>
        <w:t>s erőmű létrehozására tett kísérletek, illetve néhány megvalósított erőmű esetén, - a felvetődő problémák miatt, - ma által</w:t>
      </w:r>
      <w:r>
        <w:rPr>
          <w:sz w:val="28"/>
        </w:rPr>
        <w:t>á</w:t>
      </w:r>
      <w:r>
        <w:rPr>
          <w:sz w:val="28"/>
        </w:rPr>
        <w:t>nosan elterjedt nézet, hogy a tüzelhető biomassza energetikai felhasználásában az „Achileszi pont” az alapanyag ellátás, illetve ann</w:t>
      </w:r>
      <w:r>
        <w:rPr>
          <w:sz w:val="28"/>
        </w:rPr>
        <w:t>ak biztonságossága.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A meglévő tüzelhető biomassza legcélszerűbben hőenergiaként haszn</w:t>
      </w:r>
      <w:r>
        <w:rPr>
          <w:sz w:val="28"/>
        </w:rPr>
        <w:t>o</w:t>
      </w:r>
      <w:r>
        <w:rPr>
          <w:sz w:val="28"/>
        </w:rPr>
        <w:t>sítható, mégpedig helyben (decentralizáltan) mert: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Ha hőként hasznosítjuk – a jelenlegi technikai eszközökkel – úgy a benne lévő energiatartalom 85-90% - ban értékesül.</w:t>
      </w: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 decentralizált felhasználás minimális logisztikai feladatot jelent.</w:t>
      </w: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Az alapanyag igény decentralizált rendszerek esetén –  2- 4 000 tonna/év - szinte kockázatmentesen biztosítható.</w:t>
      </w:r>
    </w:p>
    <w:p w:rsidR="00000000" w:rsidRDefault="00795E81">
      <w:pPr>
        <w:ind w:left="1080"/>
        <w:jc w:val="both"/>
        <w:rPr>
          <w:sz w:val="28"/>
        </w:rPr>
      </w:pPr>
    </w:p>
    <w:p w:rsidR="00000000" w:rsidRDefault="00795E81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A rendszerek kiépítését az önkormányzati intézményekben célszerű me</w:t>
      </w:r>
      <w:r>
        <w:rPr>
          <w:sz w:val="28"/>
        </w:rPr>
        <w:t>g</w:t>
      </w:r>
      <w:r>
        <w:rPr>
          <w:sz w:val="28"/>
        </w:rPr>
        <w:t>kez</w:t>
      </w:r>
      <w:r>
        <w:rPr>
          <w:sz w:val="28"/>
        </w:rPr>
        <w:t>deni, mert: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 kézzelfogható eredmények – költségmegtakarítás – akcellerálni fogják a lakosság törekvését a gázfűtés kiváltására.</w:t>
      </w: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 xml:space="preserve">A rendszerek által produkált, megbízható minőségű és elegendő mennyiségű – megfelelő komfortfokozatot biztosító – tüzelőanyag </w:t>
      </w:r>
      <w:r>
        <w:rPr>
          <w:sz w:val="28"/>
        </w:rPr>
        <w:t>megléte megteremti a feltételeit a lakosság biztonságos és szerv</w:t>
      </w:r>
      <w:r>
        <w:rPr>
          <w:sz w:val="28"/>
        </w:rPr>
        <w:t>e</w:t>
      </w:r>
      <w:r>
        <w:rPr>
          <w:sz w:val="28"/>
        </w:rPr>
        <w:t>zett ellátásának.</w:t>
      </w:r>
    </w:p>
    <w:p w:rsidR="00000000" w:rsidRDefault="00795E81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A koncepció kialakításakor abból indultunk ki, hogy a mezőgazdaság alapvető feladata az élelmiszer szükséglet biztosítása. Ebből következik hogy: 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Az energetikai célú növén</w:t>
      </w:r>
      <w:r>
        <w:rPr>
          <w:sz w:val="28"/>
        </w:rPr>
        <w:t>ytermesztés csak arra a területre korlát</w:t>
      </w:r>
      <w:r>
        <w:rPr>
          <w:sz w:val="28"/>
        </w:rPr>
        <w:t>o</w:t>
      </w:r>
      <w:r>
        <w:rPr>
          <w:sz w:val="28"/>
        </w:rPr>
        <w:t>zódhat, amelyen gazdaságosan élelmiszer, élelmiszeripari ala</w:t>
      </w:r>
      <w:r>
        <w:rPr>
          <w:sz w:val="28"/>
        </w:rPr>
        <w:t>p</w:t>
      </w:r>
      <w:r>
        <w:rPr>
          <w:sz w:val="28"/>
        </w:rPr>
        <w:t>anyag, vagy takarmány gazdaságosan nem állítható elő, tehát - éle</w:t>
      </w:r>
      <w:r>
        <w:rPr>
          <w:sz w:val="28"/>
        </w:rPr>
        <w:t>l</w:t>
      </w:r>
      <w:r>
        <w:rPr>
          <w:sz w:val="28"/>
        </w:rPr>
        <w:t>miszer-előállítást illetően - felesleges.</w:t>
      </w:r>
    </w:p>
    <w:p w:rsidR="00000000" w:rsidRDefault="00795E81">
      <w:pPr>
        <w:numPr>
          <w:ilvl w:val="1"/>
          <w:numId w:val="1"/>
        </w:numPr>
        <w:jc w:val="both"/>
        <w:rPr>
          <w:sz w:val="28"/>
        </w:rPr>
      </w:pPr>
      <w:r>
        <w:rPr>
          <w:sz w:val="28"/>
        </w:rPr>
        <w:t>Az élelmiszer előállítást szolgáló növények me</w:t>
      </w:r>
      <w:r>
        <w:rPr>
          <w:sz w:val="28"/>
        </w:rPr>
        <w:t>lléktermékeinek (hulladékainak) azon hányadát, amely a talajerő visszapótlás sze</w:t>
      </w:r>
      <w:r>
        <w:rPr>
          <w:sz w:val="28"/>
        </w:rPr>
        <w:t>m</w:t>
      </w:r>
      <w:r>
        <w:rPr>
          <w:sz w:val="28"/>
        </w:rPr>
        <w:t>pontjából megengedhető, használjuk azt fel energetikai célra. Te</w:t>
      </w:r>
      <w:r>
        <w:rPr>
          <w:sz w:val="28"/>
        </w:rPr>
        <w:t>r</w:t>
      </w:r>
      <w:r>
        <w:rPr>
          <w:sz w:val="28"/>
        </w:rPr>
        <w:t>mészetesen feltétel, hogy:</w:t>
      </w:r>
    </w:p>
    <w:p w:rsidR="00000000" w:rsidRDefault="00795E81">
      <w:pPr>
        <w:numPr>
          <w:ilvl w:val="4"/>
          <w:numId w:val="1"/>
        </w:numPr>
        <w:jc w:val="both"/>
        <w:rPr>
          <w:sz w:val="28"/>
        </w:rPr>
      </w:pPr>
      <w:r>
        <w:rPr>
          <w:sz w:val="28"/>
        </w:rPr>
        <w:t>Ez gazdaságosan begyűjthető legyen.</w:t>
      </w:r>
    </w:p>
    <w:p w:rsidR="00000000" w:rsidRDefault="00795E81">
      <w:pPr>
        <w:numPr>
          <w:ilvl w:val="4"/>
          <w:numId w:val="1"/>
        </w:numPr>
        <w:jc w:val="both"/>
        <w:rPr>
          <w:sz w:val="28"/>
        </w:rPr>
      </w:pPr>
      <w:r>
        <w:rPr>
          <w:sz w:val="28"/>
        </w:rPr>
        <w:t>A termelőnél jövedelmet realizáljon.</w:t>
      </w:r>
    </w:p>
    <w:p w:rsidR="00000000" w:rsidRDefault="00795E81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A tüzelhet</w:t>
      </w:r>
      <w:r>
        <w:rPr>
          <w:sz w:val="28"/>
        </w:rPr>
        <w:t>ő biomassza energetikai célú felhasználhatóságának elemzés</w:t>
      </w:r>
      <w:r>
        <w:rPr>
          <w:sz w:val="28"/>
        </w:rPr>
        <w:t>e</w:t>
      </w:r>
      <w:r>
        <w:rPr>
          <w:sz w:val="28"/>
        </w:rPr>
        <w:t>kor abból indultunk ki, hogy a termelődő mennyiségnek csak viszonylag kis hányada használható fel gazdaságosan.</w:t>
      </w:r>
    </w:p>
    <w:p w:rsidR="00000000" w:rsidRDefault="00795E81">
      <w:pPr>
        <w:pStyle w:val="Szvegtrzsbehzssal"/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pt;margin-top:5.7pt;width:324pt;height:243pt;z-index:251630592">
            <v:textbox>
              <w:txbxContent>
                <w:p w:rsidR="00000000" w:rsidRDefault="00913BEB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24325" cy="2828925"/>
                        <wp:effectExtent l="19050" t="0" r="9525" b="0"/>
                        <wp:docPr id="1" name="Kép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4325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795E81">
                  <w:pPr>
                    <w:jc w:val="both"/>
                    <w:rPr>
                      <w:i/>
                      <w:iCs/>
                    </w:rPr>
                  </w:pPr>
                </w:p>
                <w:p w:rsidR="00000000" w:rsidRDefault="00795E81">
                  <w:pPr>
                    <w:jc w:val="both"/>
                  </w:pPr>
                  <w:r>
                    <w:rPr>
                      <w:i/>
                      <w:iCs/>
                    </w:rPr>
                    <w:t>(Dr. Dinya László)</w:t>
                  </w:r>
                </w:p>
              </w:txbxContent>
            </v:textbox>
            <w10:wrap type="square"/>
          </v:shape>
        </w:pict>
      </w:r>
      <w:r>
        <w:t xml:space="preserve"> A mértékét, a termelődés, helye, a me</w:t>
      </w:r>
      <w:r>
        <w:t>g</w:t>
      </w:r>
      <w:r>
        <w:t>lévő technika színvonala és annak üzeme</w:t>
      </w:r>
      <w:r>
        <w:t>l</w:t>
      </w:r>
      <w:r>
        <w:t>tetés</w:t>
      </w:r>
      <w:r>
        <w:t>i költs</w:t>
      </w:r>
      <w:r>
        <w:t>é</w:t>
      </w:r>
      <w:r>
        <w:t>gei, valamint a talajerő utá</w:t>
      </w:r>
      <w:r>
        <w:t>n</w:t>
      </w:r>
      <w:r>
        <w:t>pótlás köv</w:t>
      </w:r>
      <w:r>
        <w:t>e</w:t>
      </w:r>
      <w:r>
        <w:t>telményei h</w:t>
      </w:r>
      <w:r>
        <w:t>a</w:t>
      </w:r>
      <w:r>
        <w:t>t</w:t>
      </w:r>
      <w:r>
        <w:t>á</w:t>
      </w:r>
      <w:r>
        <w:t>ro</w:t>
      </w:r>
      <w:r>
        <w:t>z</w:t>
      </w:r>
      <w:r>
        <w:t>zák meg. Ennek megf</w:t>
      </w:r>
      <w:r>
        <w:t>e</w:t>
      </w:r>
      <w:r>
        <w:t>lelően, ha a biomassza p</w:t>
      </w:r>
      <w:r>
        <w:t>o</w:t>
      </w:r>
      <w:r>
        <w:t>tenciálról b</w:t>
      </w:r>
      <w:r>
        <w:t>e</w:t>
      </w:r>
      <w:r>
        <w:t>szélünk, akkor meg kell különböztetni: E</w:t>
      </w:r>
      <w:r>
        <w:t>l</w:t>
      </w:r>
      <w:r>
        <w:t>méleti potenciált, konverziós p</w:t>
      </w:r>
      <w:r>
        <w:t>o</w:t>
      </w:r>
      <w:r>
        <w:t>tenciált, technikai potenciált, gazdasági potenciált és végü</w:t>
      </w:r>
      <w:r>
        <w:t>l a technikai potenciált.</w:t>
      </w:r>
    </w:p>
    <w:p w:rsidR="00000000" w:rsidRDefault="00795E81">
      <w:pPr>
        <w:pStyle w:val="Szvegtrzsbehzssal"/>
        <w:numPr>
          <w:ilvl w:val="0"/>
          <w:numId w:val="1"/>
        </w:numPr>
      </w:pPr>
      <w:r>
        <w:rPr>
          <w:noProof/>
          <w:sz w:val="20"/>
        </w:rPr>
        <w:pict>
          <v:shape id="_x0000_s1027" type="#_x0000_t202" style="position:absolute;left:0;text-align:left;margin-left:27pt;margin-top:23.85pt;width:421pt;height:253.25pt;z-index:251631616">
            <v:textbox>
              <w:txbxContent>
                <w:p w:rsidR="00000000" w:rsidRDefault="00913BEB">
                  <w:r>
                    <w:rPr>
                      <w:noProof/>
                    </w:rPr>
                    <w:drawing>
                      <wp:inline distT="0" distB="0" distL="0" distR="0">
                        <wp:extent cx="5153025" cy="3114675"/>
                        <wp:effectExtent l="0" t="0" r="0" b="0"/>
                        <wp:docPr id="2" name="Objektu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>Az önkormányzati intézmények gázfűtésének kiváltására felhasználható biomassza mennyiségének meghatározásakor a fenntarthatóan rendelk</w:t>
      </w:r>
      <w:r>
        <w:t>e</w:t>
      </w:r>
      <w:r>
        <w:t>zésre álló mennyiségekkel számoltunk Látható, hogy a búza (szalma) és a kukorica (szár) adja a</w:t>
      </w:r>
      <w:r>
        <w:t xml:space="preserve"> számbavett mennyiség  több, mint fele és az összes mennyiség közel kétharmada a szántóföldi </w:t>
      </w:r>
    </w:p>
    <w:p w:rsidR="00000000" w:rsidRDefault="00795E81">
      <w:pPr>
        <w:pStyle w:val="Szvegtrzsbehzssal"/>
        <w:ind w:left="360"/>
      </w:pPr>
    </w:p>
    <w:p w:rsidR="00000000" w:rsidRDefault="00795E81">
      <w:pPr>
        <w:pStyle w:val="Szvegtrzsbehzssal"/>
        <w:ind w:left="360"/>
      </w:pPr>
      <w:r>
        <w:t xml:space="preserve">   növénytermesztésből származik. Mennyiségben az alábbiak szerint  al</w:t>
      </w:r>
      <w:r>
        <w:t>a</w:t>
      </w:r>
      <w:r>
        <w:t>kul:</w:t>
      </w:r>
    </w:p>
    <w:p w:rsidR="00000000" w:rsidRDefault="00795E81">
      <w:pPr>
        <w:pStyle w:val="Szvegtrzsbehzssal"/>
        <w:ind w:left="360"/>
      </w:pPr>
    </w:p>
    <w:tbl>
      <w:tblPr>
        <w:tblpPr w:leftFromText="141" w:rightFromText="141" w:vertAnchor="text" w:horzAnchor="page" w:tblpX="1958" w:tblpY="-64"/>
        <w:tblW w:w="9060" w:type="dxa"/>
        <w:tblCellMar>
          <w:left w:w="0" w:type="dxa"/>
          <w:right w:w="0" w:type="dxa"/>
        </w:tblCellMar>
        <w:tblLook w:val="0000"/>
      </w:tblPr>
      <w:tblGrid>
        <w:gridCol w:w="2321"/>
        <w:gridCol w:w="1024"/>
        <w:gridCol w:w="1049"/>
        <w:gridCol w:w="1003"/>
        <w:gridCol w:w="1278"/>
        <w:gridCol w:w="1184"/>
        <w:gridCol w:w="1201"/>
      </w:tblGrid>
      <w:tr w:rsidR="00000000">
        <w:trPr>
          <w:trHeight w:val="810"/>
        </w:trPr>
        <w:tc>
          <w:tcPr>
            <w:tcW w:w="23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vAlign w:val="center"/>
          </w:tcPr>
          <w:p w:rsidR="00000000" w:rsidRDefault="00795E81">
            <w:pPr>
              <w:jc w:val="center"/>
              <w:rPr>
                <w:rFonts w:eastAsia="Arial Unicode MS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Megnevezés</w:t>
            </w:r>
          </w:p>
        </w:tc>
        <w:tc>
          <w:tcPr>
            <w:tcW w:w="1024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bottom"/>
          </w:tcPr>
          <w:p w:rsidR="00000000" w:rsidRDefault="00795E81">
            <w:pPr>
              <w:jc w:val="center"/>
              <w:rPr>
                <w:rFonts w:eastAsia="Arial Unicode MS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Terület, ha</w:t>
            </w:r>
          </w:p>
        </w:tc>
        <w:tc>
          <w:tcPr>
            <w:tcW w:w="1049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bottom"/>
          </w:tcPr>
          <w:p w:rsidR="00000000" w:rsidRDefault="00795E81">
            <w:pPr>
              <w:jc w:val="center"/>
              <w:rPr>
                <w:rFonts w:eastAsia="Arial Unicode MS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Főtermék to</w:t>
            </w:r>
          </w:p>
        </w:tc>
        <w:tc>
          <w:tcPr>
            <w:tcW w:w="1003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szalma/ szem arány</w:t>
            </w:r>
          </w:p>
        </w:tc>
        <w:tc>
          <w:tcPr>
            <w:tcW w:w="1278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Melléktermék tonna</w:t>
            </w:r>
          </w:p>
        </w:tc>
        <w:tc>
          <w:tcPr>
            <w:tcW w:w="1184" w:type="dxa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Begyűjthető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arány</w:t>
            </w:r>
          </w:p>
        </w:tc>
        <w:tc>
          <w:tcPr>
            <w:tcW w:w="120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Begyűjthető tonna</w:t>
            </w:r>
          </w:p>
        </w:tc>
      </w:tr>
      <w:tr w:rsidR="00000000">
        <w:trPr>
          <w:trHeight w:val="330"/>
        </w:trPr>
        <w:tc>
          <w:tcPr>
            <w:tcW w:w="2321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Búza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1 945 000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3 115 000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2 803 500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841 050</w:t>
            </w:r>
          </w:p>
        </w:tc>
      </w:tr>
      <w:tr w:rsidR="00000000">
        <w:trPr>
          <w:trHeight w:val="315"/>
        </w:trPr>
        <w:tc>
          <w:tcPr>
            <w:tcW w:w="2321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 xml:space="preserve">Kukorica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2 538 000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3 848 000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7 311 200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1 462 240</w:t>
            </w:r>
          </w:p>
        </w:tc>
      </w:tr>
      <w:tr w:rsidR="00000000">
        <w:trPr>
          <w:trHeight w:val="315"/>
        </w:trPr>
        <w:tc>
          <w:tcPr>
            <w:tcW w:w="2321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 xml:space="preserve">Napraforgó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819 000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547 000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437 600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175 040</w:t>
            </w:r>
          </w:p>
        </w:tc>
      </w:tr>
      <w:tr w:rsidR="00000000">
        <w:trPr>
          <w:trHeight w:val="315"/>
        </w:trPr>
        <w:tc>
          <w:tcPr>
            <w:tcW w:w="2321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Szója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137 000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147 000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61 740</w:t>
            </w:r>
          </w:p>
        </w:tc>
      </w:tr>
      <w:tr w:rsidR="00000000">
        <w:trPr>
          <w:trHeight w:val="330"/>
        </w:trPr>
        <w:tc>
          <w:tcPr>
            <w:tcW w:w="2321" w:type="dxa"/>
            <w:tcBorders>
              <w:top w:val="nil"/>
              <w:left w:val="double" w:sz="6" w:space="0" w:color="000000"/>
              <w:bottom w:val="nil"/>
              <w:right w:val="single" w:sz="4" w:space="0" w:color="000000"/>
            </w:tcBorders>
          </w:tcPr>
          <w:p w:rsidR="00000000" w:rsidRDefault="00795E81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Repce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340 000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000000" w:rsidRDefault="00795E81">
            <w:pPr>
              <w:jc w:val="right"/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348 000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208 800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0,70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146 160</w:t>
            </w:r>
          </w:p>
        </w:tc>
      </w:tr>
      <w:tr w:rsidR="00000000">
        <w:trPr>
          <w:trHeight w:val="345"/>
        </w:trPr>
        <w:tc>
          <w:tcPr>
            <w:tcW w:w="23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</w:tcPr>
          <w:p w:rsidR="00000000" w:rsidRDefault="00795E81">
            <w:pPr>
              <w:rPr>
                <w:rFonts w:eastAsia="Arial Unicode MS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Szántóföldi növények</w:t>
            </w:r>
          </w:p>
        </w:tc>
        <w:tc>
          <w:tcPr>
            <w:tcW w:w="0" w:type="auto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5 779 000</w:t>
            </w:r>
          </w:p>
        </w:tc>
        <w:tc>
          <w:tcPr>
            <w:tcW w:w="0" w:type="auto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8 005 000</w:t>
            </w:r>
          </w:p>
        </w:tc>
        <w:tc>
          <w:tcPr>
            <w:tcW w:w="0" w:type="auto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10 849 300</w:t>
            </w:r>
          </w:p>
        </w:tc>
        <w:tc>
          <w:tcPr>
            <w:tcW w:w="0" w:type="auto"/>
            <w:tcBorders>
              <w:top w:val="double" w:sz="6" w:space="0" w:color="000000"/>
              <w:left w:val="nil"/>
              <w:bottom w:val="double" w:sz="6" w:space="0" w:color="000000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2 686 230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ootnoteReference w:customMarkFollows="1" w:id="5"/>
              <w:t>Energia ültetvény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360 000</w:t>
            </w:r>
          </w:p>
        </w:tc>
      </w:tr>
      <w:tr w:rsidR="00000000">
        <w:trPr>
          <w:trHeight w:val="315"/>
        </w:trPr>
        <w:tc>
          <w:tcPr>
            <w:tcW w:w="2321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795E81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Szőlő gyümölcs ülte</w:t>
            </w:r>
            <w:r>
              <w:rPr>
                <w:color w:val="000000"/>
              </w:rPr>
              <w:t>t</w:t>
            </w:r>
            <w:r>
              <w:rPr>
                <w:color w:val="000000"/>
              </w:rPr>
              <w:t>vény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160 000</w:t>
            </w:r>
          </w:p>
        </w:tc>
      </w:tr>
      <w:tr w:rsidR="00000000">
        <w:trPr>
          <w:trHeight w:val="330"/>
        </w:trPr>
        <w:tc>
          <w:tcPr>
            <w:tcW w:w="2321" w:type="dxa"/>
            <w:tcBorders>
              <w:top w:val="nil"/>
              <w:left w:val="double" w:sz="6" w:space="0" w:color="000000"/>
              <w:bottom w:val="nil"/>
              <w:right w:val="single" w:sz="4" w:space="0" w:color="000000"/>
            </w:tcBorders>
          </w:tcPr>
          <w:p w:rsidR="00000000" w:rsidRDefault="00795E81">
            <w:pPr>
              <w:rPr>
                <w:rFonts w:eastAsia="Arial Unicode MS"/>
                <w:color w:val="000000"/>
              </w:rPr>
            </w:pPr>
            <w:r>
              <w:rPr>
                <w:color w:val="000000"/>
              </w:rPr>
              <w:t>Erdészeti hulladék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2 000 000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4 200 000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2 100 000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40 000</w:t>
            </w:r>
          </w:p>
        </w:tc>
      </w:tr>
      <w:tr w:rsidR="00000000">
        <w:trPr>
          <w:trHeight w:val="345"/>
        </w:trPr>
        <w:tc>
          <w:tcPr>
            <w:tcW w:w="7859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000000" w:rsidRDefault="00795E81">
            <w:pPr>
              <w:rPr>
                <w:rFonts w:eastAsia="Arial Unicode MS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Összesen reálisan begyűjthető</w:t>
            </w:r>
          </w:p>
        </w:tc>
        <w:tc>
          <w:tcPr>
            <w:tcW w:w="0" w:type="auto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4 046 230</w:t>
            </w:r>
          </w:p>
        </w:tc>
      </w:tr>
      <w:tr w:rsidR="00000000">
        <w:trPr>
          <w:trHeight w:val="285"/>
        </w:trPr>
        <w:tc>
          <w:tcPr>
            <w:tcW w:w="0" w:type="auto"/>
            <w:gridSpan w:val="6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to melléktermék átlagos fűtőértéke Gj/to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nil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000000">
        <w:trPr>
          <w:trHeight w:val="285"/>
        </w:trPr>
        <w:tc>
          <w:tcPr>
            <w:tcW w:w="0" w:type="auto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Begyűjthető melléktermék Fűtőértéke összesen Gj</w:t>
            </w:r>
          </w:p>
        </w:tc>
        <w:tc>
          <w:tcPr>
            <w:tcW w:w="0" w:type="auto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48 554 760</w:t>
            </w:r>
          </w:p>
        </w:tc>
      </w:tr>
      <w:tr w:rsidR="00000000">
        <w:trPr>
          <w:trHeight w:val="270"/>
        </w:trPr>
        <w:tc>
          <w:tcPr>
            <w:tcW w:w="0" w:type="auto"/>
            <w:gridSpan w:val="6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Önkormányzati intézmények éves fűtési szükséglete összesen Gj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15 194 025</w:t>
            </w:r>
          </w:p>
        </w:tc>
      </w:tr>
      <w:tr w:rsidR="00000000">
        <w:trPr>
          <w:trHeight w:val="255"/>
        </w:trPr>
        <w:tc>
          <w:tcPr>
            <w:tcW w:w="0" w:type="auto"/>
            <w:gridSpan w:val="6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Ehhez szükséges fűtőanyag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összesen to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1 266 169</w:t>
            </w:r>
          </w:p>
        </w:tc>
      </w:tr>
      <w:tr w:rsidR="00000000">
        <w:trPr>
          <w:cantSplit/>
          <w:trHeight w:val="255"/>
        </w:trPr>
        <w:tc>
          <w:tcPr>
            <w:tcW w:w="0" w:type="auto"/>
            <w:vMerge w:val="restart"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noWrap/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Többlet 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Gigajule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33 360 735</w:t>
            </w:r>
          </w:p>
        </w:tc>
      </w:tr>
      <w:tr w:rsidR="00000000">
        <w:trPr>
          <w:cantSplit/>
          <w:trHeight w:val="270"/>
        </w:trPr>
        <w:tc>
          <w:tcPr>
            <w:tcW w:w="0" w:type="auto"/>
            <w:vMerge/>
            <w:tcBorders>
              <w:top w:val="nil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Tonna</w:t>
            </w:r>
          </w:p>
        </w:tc>
        <w:tc>
          <w:tcPr>
            <w:tcW w:w="0" w:type="auto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2 780 061</w:t>
            </w:r>
          </w:p>
        </w:tc>
      </w:tr>
    </w:tbl>
    <w:tbl>
      <w:tblPr>
        <w:tblpPr w:leftFromText="141" w:rightFromText="141" w:vertAnchor="text" w:horzAnchor="margin" w:tblpXSpec="center" w:tblpY="1769"/>
        <w:tblW w:w="5540" w:type="dxa"/>
        <w:tblInd w:w="-23" w:type="dxa"/>
        <w:tblCellMar>
          <w:left w:w="0" w:type="dxa"/>
          <w:right w:w="0" w:type="dxa"/>
        </w:tblCellMar>
        <w:tblLook w:val="0000"/>
      </w:tblPr>
      <w:tblGrid>
        <w:gridCol w:w="2490"/>
        <w:gridCol w:w="844"/>
        <w:gridCol w:w="1155"/>
        <w:gridCol w:w="1051"/>
      </w:tblGrid>
      <w:tr w:rsidR="00000000">
        <w:trPr>
          <w:trHeight w:val="1050"/>
        </w:trPr>
        <w:tc>
          <w:tcPr>
            <w:tcW w:w="24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Településnagyság</w:t>
            </w:r>
          </w:p>
        </w:tc>
        <w:tc>
          <w:tcPr>
            <w:tcW w:w="8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Db</w:t>
            </w:r>
          </w:p>
        </w:tc>
        <w:tc>
          <w:tcPr>
            <w:tcW w:w="1155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Biztosítható biomassza to</w:t>
            </w:r>
          </w:p>
        </w:tc>
        <w:tc>
          <w:tcPr>
            <w:tcW w:w="105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Hiányzó biomassza to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&gt;50 000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101 751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-148 785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10 001 -50 000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72 448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-63 245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5 001-10 000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11 896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-8 727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3 001- 5 000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4 950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1 001- 3 000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-1 800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501-1 000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-257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&lt;500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-4</w:t>
            </w:r>
          </w:p>
        </w:tc>
      </w:tr>
      <w:tr w:rsidR="00000000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Összesen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193 734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-227 768</w:t>
            </w:r>
          </w:p>
        </w:tc>
      </w:tr>
    </w:tbl>
    <w:p w:rsidR="00000000" w:rsidRDefault="00795E81">
      <w:pPr>
        <w:pStyle w:val="Szvegtrzsbehzssal"/>
      </w:pPr>
      <w:r>
        <w:t>Rendelkezésünkre áll a reálisan begyűjthető, tüzelhető biomassza menny</w:t>
      </w:r>
      <w:r>
        <w:t>i</w:t>
      </w:r>
      <w:r>
        <w:t>ségének településsoros megoszlása is. Ennek alapján összesen 136 olyan település</w:t>
      </w:r>
      <w:r>
        <w:t xml:space="preserve"> van, ahol a hozzá tartozó területről nem lehet biztonságosan b</w:t>
      </w:r>
      <w:r>
        <w:t>e</w:t>
      </w:r>
      <w:r>
        <w:t>gyűjteni az ott található közintézmények fűtéséhez szüks</w:t>
      </w:r>
      <w:r>
        <w:t>é</w:t>
      </w:r>
      <w:r>
        <w:t>ges biomasszát. E települések a legnagyobb városok, illetve üdülőterületek. Ezek megos</w:t>
      </w:r>
      <w:r>
        <w:t>z</w:t>
      </w:r>
      <w:r>
        <w:t>lása t</w:t>
      </w:r>
      <w:r>
        <w:t>e</w:t>
      </w:r>
      <w:r>
        <w:t>lepülésnagyság szerint a fenti:</w:t>
      </w: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  <w:r>
        <w:t>Megjegye</w:t>
      </w:r>
      <w:r>
        <w:t>zzük, hogy ezeknél a településeknél is a szükséges biomassza a szomszéd települések többletéből - minden nehézség nélkül - biztosítható 15 km-es körzeten belül.</w:t>
      </w: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  <w:r>
        <w:t>2 987 önkormányzat esetében a reálisan begyűjthető tüzelhető biomassza többszörösét teszi ki a</w:t>
      </w:r>
      <w:r>
        <w:t xml:space="preserve">nnak, ami az önkormányzati intézmények fűtéséhez szükséges lenne. </w:t>
      </w:r>
    </w:p>
    <w:p w:rsidR="00000000" w:rsidRDefault="00913BEB">
      <w:pPr>
        <w:pStyle w:val="Szvegtrzsbehzssal"/>
      </w:pPr>
      <w:r>
        <w:rPr>
          <w:noProof/>
        </w:rPr>
        <w:drawing>
          <wp:inline distT="0" distB="0" distL="0" distR="0">
            <wp:extent cx="5267325" cy="3867150"/>
            <wp:effectExtent l="0" t="0" r="0" b="0"/>
            <wp:docPr id="3" name="Objektu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  <w:numPr>
          <w:ilvl w:val="0"/>
          <w:numId w:val="1"/>
        </w:numPr>
      </w:pPr>
      <w:r>
        <w:t>Az alapanyag tehát reálisan rendelkezésre áll. A gázfűtés kiváltása siker</w:t>
      </w:r>
      <w:r>
        <w:t>e</w:t>
      </w:r>
      <w:r>
        <w:t xml:space="preserve">sen, azonban csak rendszerben foglalva képzelhető el. </w:t>
      </w:r>
    </w:p>
    <w:p w:rsidR="00000000" w:rsidRDefault="00795E81">
      <w:pPr>
        <w:pStyle w:val="Szvegtrzsbehzssal"/>
        <w:ind w:left="360"/>
      </w:pPr>
      <w:r>
        <w:t xml:space="preserve"> </w:t>
      </w: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</w:pPr>
    </w:p>
    <w:p w:rsidR="00000000" w:rsidRDefault="00795E81">
      <w:pPr>
        <w:pStyle w:val="Szvegtrzsbehzssal"/>
        <w:jc w:val="center"/>
        <w:rPr>
          <w:b/>
          <w:bCs/>
          <w:u w:val="single"/>
        </w:rPr>
      </w:pPr>
      <w:r>
        <w:rPr>
          <w:b/>
          <w:bCs/>
          <w:u w:val="single"/>
        </w:rPr>
        <w:t>II. A rendszer</w:t>
      </w:r>
    </w:p>
    <w:p w:rsidR="00000000" w:rsidRDefault="00795E81">
      <w:pPr>
        <w:pStyle w:val="Szvegtrzsbehzssal"/>
        <w:jc w:val="center"/>
      </w:pPr>
    </w:p>
    <w:p w:rsidR="00000000" w:rsidRDefault="00795E81">
      <w:pPr>
        <w:pStyle w:val="Szvegtrzsbehzssal"/>
        <w:ind w:left="0"/>
        <w:rPr>
          <w:b/>
          <w:bCs/>
          <w:u w:val="double"/>
        </w:rPr>
      </w:pPr>
      <w:r>
        <w:rPr>
          <w:b/>
          <w:bCs/>
          <w:u w:val="double"/>
        </w:rPr>
        <w:t>Általános meghatározása</w:t>
      </w:r>
    </w:p>
    <w:p w:rsidR="00000000" w:rsidRDefault="00795E81">
      <w:pPr>
        <w:jc w:val="both"/>
        <w:rPr>
          <w:b/>
          <w:bCs/>
          <w:sz w:val="28"/>
        </w:rPr>
      </w:pPr>
    </w:p>
    <w:p w:rsidR="00000000" w:rsidRDefault="00795E81">
      <w:pPr>
        <w:ind w:left="708"/>
        <w:jc w:val="both"/>
        <w:rPr>
          <w:i/>
          <w:iCs/>
          <w:sz w:val="28"/>
        </w:rPr>
      </w:pPr>
      <w:r>
        <w:rPr>
          <w:b/>
          <w:bCs/>
          <w:i/>
          <w:iCs/>
          <w:sz w:val="28"/>
        </w:rPr>
        <w:t>Rendszer:</w:t>
      </w:r>
      <w:r>
        <w:rPr>
          <w:i/>
          <w:iCs/>
          <w:sz w:val="28"/>
        </w:rPr>
        <w:t xml:space="preserve"> egy bizonyos határon belül valamilyen cél érdekében együt</w:t>
      </w:r>
      <w:r>
        <w:rPr>
          <w:i/>
          <w:iCs/>
          <w:sz w:val="28"/>
        </w:rPr>
        <w:t>t</w:t>
      </w:r>
      <w:r>
        <w:rPr>
          <w:i/>
          <w:iCs/>
          <w:sz w:val="28"/>
        </w:rPr>
        <w:t xml:space="preserve">működő, egymáshoz kapcsolódó elemek halmaza. Az elemek </w:t>
      </w:r>
      <w:r>
        <w:rPr>
          <w:b/>
          <w:bCs/>
          <w:i/>
          <w:iCs/>
          <w:sz w:val="28"/>
        </w:rPr>
        <w:t>alrendsz</w:t>
      </w:r>
      <w:r>
        <w:rPr>
          <w:b/>
          <w:bCs/>
          <w:i/>
          <w:iCs/>
          <w:sz w:val="28"/>
        </w:rPr>
        <w:t>e</w:t>
      </w:r>
      <w:r>
        <w:rPr>
          <w:b/>
          <w:bCs/>
          <w:i/>
          <w:iCs/>
          <w:sz w:val="28"/>
        </w:rPr>
        <w:t xml:space="preserve">rekbe </w:t>
      </w:r>
      <w:r>
        <w:rPr>
          <w:i/>
          <w:iCs/>
          <w:sz w:val="28"/>
        </w:rPr>
        <w:t>szervezh</w:t>
      </w:r>
      <w:r>
        <w:rPr>
          <w:i/>
          <w:iCs/>
          <w:sz w:val="28"/>
        </w:rPr>
        <w:t>e</w:t>
      </w:r>
      <w:r>
        <w:rPr>
          <w:i/>
          <w:iCs/>
          <w:sz w:val="28"/>
        </w:rPr>
        <w:t>tők. Az alrendszer</w:t>
      </w:r>
      <w:r>
        <w:rPr>
          <w:b/>
          <w:bCs/>
          <w:i/>
          <w:iCs/>
          <w:sz w:val="28"/>
        </w:rPr>
        <w:t xml:space="preserve"> </w:t>
      </w:r>
      <w:r>
        <w:rPr>
          <w:i/>
          <w:iCs/>
          <w:sz w:val="28"/>
        </w:rPr>
        <w:t>a rendszer azon része, amely egy adott (rész) feladatot -  megold</w:t>
      </w:r>
      <w:r>
        <w:rPr>
          <w:i/>
          <w:iCs/>
          <w:sz w:val="28"/>
        </w:rPr>
        <w:t>ásához szükséges-  elemeket tartalmazza, így e tekintetben, önmagában is rendszer (rendszer a rendszerben).</w:t>
      </w:r>
    </w:p>
    <w:p w:rsidR="00000000" w:rsidRDefault="00795E81">
      <w:pPr>
        <w:pStyle w:val="Szvegtrzsbehzssal"/>
        <w:rPr>
          <w:i/>
          <w:iCs/>
        </w:rPr>
      </w:pPr>
      <w:r>
        <w:rPr>
          <w:i/>
          <w:iCs/>
        </w:rPr>
        <w:t xml:space="preserve">A rendszeren kívüli, de a rendszerrel valamilyen kapcsolatba álló elemek összessége </w:t>
      </w:r>
      <w:r>
        <w:rPr>
          <w:b/>
          <w:bCs/>
          <w:i/>
          <w:iCs/>
        </w:rPr>
        <w:t>a rendszer környezete.</w:t>
      </w:r>
      <w:r>
        <w:rPr>
          <w:i/>
          <w:iCs/>
        </w:rPr>
        <w:t xml:space="preserve"> A rendszer a </w:t>
      </w:r>
      <w:hyperlink r:id="rId10" w:tooltip="Környezet" w:history="1">
        <w:r>
          <w:rPr>
            <w:rStyle w:val="Hiperhivatkozs"/>
            <w:i/>
            <w:iCs/>
          </w:rPr>
          <w:t>körny</w:t>
        </w:r>
        <w:r>
          <w:rPr>
            <w:rStyle w:val="Hiperhivatkozs"/>
            <w:i/>
            <w:iCs/>
          </w:rPr>
          <w:t>e</w:t>
        </w:r>
        <w:r>
          <w:rPr>
            <w:rStyle w:val="Hiperhivatkozs"/>
            <w:i/>
            <w:iCs/>
          </w:rPr>
          <w:t>zet</w:t>
        </w:r>
      </w:hyperlink>
      <w:r>
        <w:rPr>
          <w:i/>
          <w:iCs/>
        </w:rPr>
        <w:t xml:space="preserve"> révén él, a kö</w:t>
      </w:r>
      <w:r>
        <w:rPr>
          <w:i/>
          <w:iCs/>
        </w:rPr>
        <w:t>r</w:t>
      </w:r>
      <w:r>
        <w:rPr>
          <w:i/>
          <w:iCs/>
        </w:rPr>
        <w:t>nyezet is meghatározza a rendszert. A környezettel a rendszer kapcsola</w:t>
      </w:r>
      <w:r>
        <w:rPr>
          <w:i/>
          <w:iCs/>
        </w:rPr>
        <w:t>t</w:t>
      </w:r>
      <w:r>
        <w:rPr>
          <w:i/>
          <w:iCs/>
        </w:rPr>
        <w:t xml:space="preserve">ban áll, </w:t>
      </w:r>
      <w:r>
        <w:rPr>
          <w:rStyle w:val="Lbjegyzet-hivatkozs"/>
          <w:i/>
          <w:iCs/>
        </w:rPr>
        <w:footnoteReference w:id="6"/>
      </w:r>
      <w:r>
        <w:rPr>
          <w:i/>
          <w:iCs/>
        </w:rPr>
        <w:t xml:space="preserve"> ahhoz illeszkedik. Az illeszkedés, alkalmazkodás </w:t>
      </w:r>
      <w:r>
        <w:rPr>
          <w:i/>
          <w:iCs/>
        </w:rPr>
        <w:t>sikere döntő l</w:t>
      </w:r>
      <w:r>
        <w:rPr>
          <w:i/>
          <w:iCs/>
        </w:rPr>
        <w:t>e</w:t>
      </w:r>
      <w:r>
        <w:rPr>
          <w:i/>
          <w:iCs/>
        </w:rPr>
        <w:t>het a rendszer jövője szempontjából. Minél jobban értjük a környezetet, annál jobb rendszert lehet tervezni, ezért tudnunk kell, hogy a környeze</w:t>
      </w:r>
      <w:r>
        <w:rPr>
          <w:i/>
          <w:iCs/>
        </w:rPr>
        <w:t>t</w:t>
      </w:r>
      <w:r>
        <w:rPr>
          <w:i/>
          <w:iCs/>
        </w:rPr>
        <w:t>ben lévő rendszerek milyen viszonyban vannak a mi rendszerünkkel.</w:t>
      </w:r>
    </w:p>
    <w:p w:rsidR="00000000" w:rsidRDefault="00795E81">
      <w:pPr>
        <w:pStyle w:val="Szvegtrzsbehzssal"/>
      </w:pPr>
      <w:r>
        <w:rPr>
          <w:i/>
          <w:iCs/>
        </w:rPr>
        <w:t>A környezeti rendszerekkel leh</w:t>
      </w:r>
      <w:r>
        <w:rPr>
          <w:i/>
          <w:iCs/>
        </w:rPr>
        <w:t>etnek cserekapcsolataink,(</w:t>
      </w:r>
      <w:r>
        <w:rPr>
          <w:b/>
          <w:bCs/>
          <w:i/>
          <w:iCs/>
        </w:rPr>
        <w:t>nyílt rendszer</w:t>
      </w:r>
      <w:r>
        <w:rPr>
          <w:i/>
          <w:iCs/>
        </w:rPr>
        <w:t xml:space="preserve">) onnan felveszünk és oda kibocsátunk anyagot, pénzt, embereket, ismeretet stb. Lehetnek versenykapcsolataink is, azaz versenghetünk ugyanazért az árúért, erőforrásért, munkáért stb. Ami ilyenkor a tennivalónk, hogy </w:t>
      </w:r>
      <w:r>
        <w:rPr>
          <w:i/>
          <w:iCs/>
        </w:rPr>
        <w:t>me</w:t>
      </w:r>
      <w:r>
        <w:rPr>
          <w:i/>
          <w:iCs/>
        </w:rPr>
        <w:t>g</w:t>
      </w:r>
      <w:r>
        <w:rPr>
          <w:i/>
          <w:iCs/>
        </w:rPr>
        <w:t>állapítsuk, mi folyik ezen a téren, és miért viselkednek, ahogy viselkednek versenytársaink. A rendszer, ha képes megújítani önmagát (</w:t>
      </w:r>
      <w:r>
        <w:rPr>
          <w:b/>
          <w:bCs/>
          <w:i/>
          <w:iCs/>
        </w:rPr>
        <w:t>homeosztázis</w:t>
      </w:r>
      <w:r>
        <w:rPr>
          <w:i/>
          <w:iCs/>
        </w:rPr>
        <w:t xml:space="preserve">) akkor a rendszer önfenntartó. Fontos jellemzője minden rendszernek a rugalmasság. Rugalmas egy rendszer, </w:t>
      </w:r>
      <w:r>
        <w:rPr>
          <w:i/>
          <w:iCs/>
        </w:rPr>
        <w:t>ha a külső körülmények változás</w:t>
      </w:r>
      <w:r>
        <w:rPr>
          <w:i/>
          <w:iCs/>
        </w:rPr>
        <w:t>á</w:t>
      </w:r>
      <w:r>
        <w:rPr>
          <w:i/>
          <w:iCs/>
        </w:rPr>
        <w:t>hoz anélkül tud alkalmazkodni, hogy homeosztázisa me</w:t>
      </w:r>
      <w:r>
        <w:rPr>
          <w:i/>
          <w:iCs/>
        </w:rPr>
        <w:t>g</w:t>
      </w:r>
      <w:r>
        <w:rPr>
          <w:i/>
          <w:iCs/>
        </w:rPr>
        <w:t xml:space="preserve">szűnne. </w:t>
      </w:r>
    </w:p>
    <w:p w:rsidR="00000000" w:rsidRDefault="00795E81">
      <w:pPr>
        <w:pStyle w:val="Szvegtrzsbehzssal"/>
      </w:pPr>
    </w:p>
    <w:p w:rsidR="00000000" w:rsidRDefault="00795E81">
      <w:pPr>
        <w:pStyle w:val="Szvegtrzsbehzssal"/>
        <w:ind w:left="0"/>
        <w:rPr>
          <w:b/>
          <w:bCs/>
          <w:u w:val="double"/>
        </w:rPr>
      </w:pPr>
      <w:r>
        <w:rPr>
          <w:b/>
          <w:bCs/>
          <w:u w:val="double"/>
        </w:rPr>
        <w:t>Az önkormányzati intézmények gázfűtésének biomasszával való kiváltására kidolgozott ren</w:t>
      </w:r>
      <w:r>
        <w:rPr>
          <w:b/>
          <w:bCs/>
          <w:u w:val="double"/>
        </w:rPr>
        <w:t>d</w:t>
      </w:r>
      <w:r>
        <w:rPr>
          <w:b/>
          <w:bCs/>
          <w:u w:val="double"/>
        </w:rPr>
        <w:t>szer.</w:t>
      </w:r>
    </w:p>
    <w:p w:rsidR="00000000" w:rsidRDefault="00795E81">
      <w:pPr>
        <w:pStyle w:val="Szvegtrzsbehzssal"/>
        <w:ind w:left="0"/>
      </w:pPr>
    </w:p>
    <w:p w:rsidR="00000000" w:rsidRDefault="00795E81">
      <w:pPr>
        <w:pStyle w:val="Szvegtrzsbehzssal"/>
        <w:ind w:left="0"/>
      </w:pPr>
      <w:r>
        <w:t>A vidéki települések szinte mindegyikében lehetséges a közintézmén</w:t>
      </w:r>
      <w:r>
        <w:t>yek jele</w:t>
      </w:r>
      <w:r>
        <w:t>n</w:t>
      </w:r>
      <w:r>
        <w:t>legi gázfűtésének biomassza fűtésre való átállítása. A szükséges biomassza re</w:t>
      </w:r>
      <w:r>
        <w:t>n</w:t>
      </w:r>
      <w:r>
        <w:t>delkezésre áll, azonban ehhez – helyi mércével mérve – jelentős beruházás szü</w:t>
      </w:r>
      <w:r>
        <w:t>k</w:t>
      </w:r>
      <w:r>
        <w:t>séges. Az önkormányzatok többsége nem rendelkezik, akkora szabad saját er</w:t>
      </w:r>
      <w:r>
        <w:t>ő</w:t>
      </w:r>
      <w:r>
        <w:t>vel, hogy ilyen b</w:t>
      </w:r>
      <w:r>
        <w:t>er</w:t>
      </w:r>
      <w:r>
        <w:t>u</w:t>
      </w:r>
      <w:r>
        <w:t>házást megvalósíthasson. Ennek megoldására dolgoztunk ki egy olyan összefüggő ren</w:t>
      </w:r>
      <w:r>
        <w:t>d</w:t>
      </w:r>
      <w:r>
        <w:t>szert,</w:t>
      </w:r>
      <w:r>
        <w:rPr>
          <w:rStyle w:val="Lbjegyzet-hivatkozs"/>
        </w:rPr>
        <w:footnoteReference w:id="7"/>
      </w:r>
      <w:r>
        <w:t>amely:</w:t>
      </w:r>
    </w:p>
    <w:p w:rsidR="00000000" w:rsidRDefault="00795E81">
      <w:pPr>
        <w:pStyle w:val="Szvegtrzsbehzssal"/>
        <w:numPr>
          <w:ilvl w:val="0"/>
          <w:numId w:val="2"/>
        </w:numPr>
      </w:pPr>
      <w:r>
        <w:t>Lehetővé teszi a beruházás megv</w:t>
      </w:r>
      <w:r>
        <w:t>a</w:t>
      </w:r>
      <w:r>
        <w:t>lósítását (forráskoordináció);</w:t>
      </w:r>
    </w:p>
    <w:p w:rsidR="00000000" w:rsidRDefault="00795E81">
      <w:pPr>
        <w:pStyle w:val="Szvegtrzsbehzssal"/>
        <w:numPr>
          <w:ilvl w:val="0"/>
          <w:numId w:val="2"/>
        </w:numPr>
      </w:pPr>
      <w:r>
        <w:t>Biztosítja a belátható időn belüli megtérülést (pénzügyi);</w:t>
      </w:r>
    </w:p>
    <w:p w:rsidR="00000000" w:rsidRDefault="00795E81">
      <w:pPr>
        <w:pStyle w:val="Szvegtrzsbehzssal"/>
        <w:numPr>
          <w:ilvl w:val="0"/>
          <w:numId w:val="2"/>
        </w:numPr>
      </w:pPr>
      <w:r>
        <w:t>Biztosítja a rendszer fenntarthatós</w:t>
      </w:r>
      <w:r>
        <w:t>á</w:t>
      </w:r>
      <w:r>
        <w:t>gát;</w:t>
      </w:r>
    </w:p>
    <w:p w:rsidR="00000000" w:rsidRDefault="00795E81">
      <w:pPr>
        <w:pStyle w:val="Szvegtrzsbehzssal"/>
        <w:numPr>
          <w:ilvl w:val="0"/>
          <w:numId w:val="2"/>
        </w:numPr>
      </w:pPr>
      <w:r>
        <w:t>Rugalmasan alkalmazkodik a helyi specialitásokhoz.</w:t>
      </w:r>
    </w:p>
    <w:p w:rsidR="00000000" w:rsidRDefault="00795E81">
      <w:pPr>
        <w:pStyle w:val="Szvegtrzsbehzssal"/>
        <w:ind w:left="0"/>
      </w:pPr>
      <w:r>
        <w:t xml:space="preserve"> </w:t>
      </w:r>
    </w:p>
    <w:p w:rsidR="00000000" w:rsidRDefault="00795E81">
      <w:pPr>
        <w:pStyle w:val="Szvegtrzsbehzssal"/>
        <w:ind w:left="0"/>
      </w:pPr>
      <w:r>
        <w:t>A kidolgozott rendszer az egymással kompatíbilis – beszerezhető és összeha</w:t>
      </w:r>
      <w:r>
        <w:t>n</w:t>
      </w:r>
      <w:r>
        <w:t>golható teljesítményű - technikai eszközökön és bere</w:t>
      </w:r>
      <w:r>
        <w:t>n</w:t>
      </w:r>
      <w:r>
        <w:t>dezéseken túl tartalmazza azokat az alrendszereket, amelyek biztosítj</w:t>
      </w:r>
      <w:r>
        <w:t>ák az egész rendszer zavartalan m</w:t>
      </w:r>
      <w:r>
        <w:t>ű</w:t>
      </w:r>
      <w:r>
        <w:t>ködtetését, a kockázatok minimalizálását, i</w:t>
      </w:r>
      <w:r>
        <w:t>l</w:t>
      </w:r>
      <w:r>
        <w:t>letve a zavarok elhárítását.</w:t>
      </w:r>
    </w:p>
    <w:p w:rsidR="00000000" w:rsidRDefault="00795E81">
      <w:pPr>
        <w:pStyle w:val="Szvegtrzsbehzssal"/>
        <w:ind w:left="0"/>
      </w:pPr>
    </w:p>
    <w:p w:rsidR="00000000" w:rsidRDefault="00795E81">
      <w:pPr>
        <w:pStyle w:val="Szvegtrzsbehzssal"/>
        <w:ind w:left="0"/>
      </w:pPr>
      <w:r>
        <w:t>A rendszer alrendszereinek tagoltsága egys</w:t>
      </w:r>
      <w:r>
        <w:t>é</w:t>
      </w:r>
      <w:r>
        <w:t>ges, de az alrendszerek tartalma egymástól eltérhet attól függően, hogy a helyi adottságok mit indokolnak</w:t>
      </w:r>
      <w:r>
        <w:t>.</w:t>
      </w:r>
      <w:r>
        <w:rPr>
          <w:noProof/>
          <w:sz w:val="20"/>
        </w:rPr>
        <w:pict>
          <v:group id="_x0000_s1038" style="position:absolute;left:0;text-align:left;margin-left:270pt;margin-top:-20.8pt;width:180pt;height:369pt;z-index:251632640;mso-position-horizontal-relative:text;mso-position-vertical-relative:text" coordorigin="7177,5917" coordsize="3600,7380">
            <v:shape id="_x0000_s1028" type="#_x0000_t202" style="position:absolute;left:7537;top:6967;width:2880;height:540">
              <v:textbox style="mso-next-textbox:#_x0000_s1028">
                <w:txbxContent>
                  <w:p w:rsidR="00000000" w:rsidRDefault="00795E8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Szervezet</w:t>
                    </w:r>
                  </w:p>
                </w:txbxContent>
              </v:textbox>
            </v:shape>
            <v:shape id="_x0000_s1029" type="#_x0000_t202" style="position:absolute;left:7537;top:7686;width:2880;height:1080">
              <v:textbox style="mso-next-textbox:#_x0000_s1029">
                <w:txbxContent>
                  <w:p w:rsidR="00000000" w:rsidRDefault="00795E8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Szabályozott érdekel</w:t>
                    </w:r>
                    <w:r>
                      <w:rPr>
                        <w:sz w:val="28"/>
                      </w:rPr>
                      <w:t>t</w:t>
                    </w:r>
                    <w:r>
                      <w:rPr>
                        <w:sz w:val="28"/>
                      </w:rPr>
                      <w:t>ségi rendszer (belső kapcsolatok)</w:t>
                    </w:r>
                  </w:p>
                </w:txbxContent>
              </v:textbox>
            </v:shape>
            <v:shape id="_x0000_s1030" type="#_x0000_t202" style="position:absolute;left:7537;top:10566;width:2880;height:540">
              <v:textbox style="mso-next-textbox:#_x0000_s1030">
                <w:txbxContent>
                  <w:p w:rsidR="00000000" w:rsidRDefault="00795E8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Üzemeltetés</w:t>
                    </w:r>
                  </w:p>
                </w:txbxContent>
              </v:textbox>
            </v:shape>
            <v:shape id="_x0000_s1031" type="#_x0000_t202" style="position:absolute;left:7537;top:8946;width:2880;height:1440">
              <v:textbox style="mso-next-textbox:#_x0000_s1031">
                <w:txbxContent>
                  <w:p w:rsidR="00000000" w:rsidRDefault="00795E8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Összehangolt egymá</w:t>
                    </w:r>
                    <w:r>
                      <w:rPr>
                        <w:sz w:val="28"/>
                      </w:rPr>
                      <w:t>s</w:t>
                    </w:r>
                    <w:r>
                      <w:rPr>
                        <w:sz w:val="28"/>
                      </w:rPr>
                      <w:t>sal kompatíbilis tec</w:t>
                    </w:r>
                    <w:r>
                      <w:rPr>
                        <w:sz w:val="28"/>
                      </w:rPr>
                      <w:t>h</w:t>
                    </w:r>
                    <w:r>
                      <w:rPr>
                        <w:sz w:val="28"/>
                      </w:rPr>
                      <w:t>nikai elemek</w:t>
                    </w:r>
                  </w:p>
                </w:txbxContent>
              </v:textbox>
            </v:shape>
            <v:shape id="_x0000_s1033" type="#_x0000_t202" style="position:absolute;left:7537;top:11286;width:2880;height:540">
              <v:textbox style="mso-next-textbox:#_x0000_s1033">
                <w:txbxContent>
                  <w:p w:rsidR="00000000" w:rsidRDefault="00795E8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Zavar elhárítás</w:t>
                    </w:r>
                  </w:p>
                </w:txbxContent>
              </v:textbox>
            </v:shape>
            <v:shape id="_x0000_s1034" type="#_x0000_t202" style="position:absolute;left:7537;top:12006;width:2880;height:900">
              <v:textbox style="mso-next-textbox:#_x0000_s1034">
                <w:txbxContent>
                  <w:p w:rsidR="00000000" w:rsidRDefault="00795E81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Külső kapcsolatok (szerződésminták)</w:t>
                    </w:r>
                  </w:p>
                </w:txbxContent>
              </v:textbox>
            </v:shape>
            <v:shape id="_x0000_s1036" type="#_x0000_t202" style="position:absolute;left:7537;top:6277;width:2880;height:540">
              <v:textbox style="mso-next-textbox:#_x0000_s1036">
                <w:txbxContent>
                  <w:p w:rsidR="00000000" w:rsidRDefault="00795E81">
                    <w:pPr>
                      <w:pStyle w:val="Cmsor3"/>
                      <w:rPr>
                        <w:u w:val="double"/>
                      </w:rPr>
                    </w:pPr>
                    <w:r>
                      <w:rPr>
                        <w:u w:val="double"/>
                      </w:rPr>
                      <w:t>Alrendszerek</w:t>
                    </w:r>
                  </w:p>
                </w:txbxContent>
              </v:textbox>
            </v:shape>
            <v:rect id="_x0000_s1037" style="position:absolute;left:7177;top:5917;width:3600;height:7380" filled="f"/>
            <w10:wrap type="square"/>
          </v:group>
        </w:pict>
      </w:r>
      <w:r>
        <w:t xml:space="preserve"> Az adottságoktól függően három típusban sorolhatók az alkalmazható rendszerek:</w:t>
      </w:r>
    </w:p>
    <w:p w:rsidR="00000000" w:rsidRDefault="00795E81">
      <w:pPr>
        <w:pStyle w:val="Szvegtrzsbehzssal"/>
        <w:ind w:left="0"/>
      </w:pPr>
    </w:p>
    <w:p w:rsidR="00000000" w:rsidRDefault="00795E81">
      <w:pPr>
        <w:pStyle w:val="Szvegtrzsbehzssal"/>
        <w:numPr>
          <w:ilvl w:val="0"/>
          <w:numId w:val="3"/>
        </w:numPr>
      </w:pPr>
      <w:r>
        <w:t>Egyedi fűtéssel rendelkező intézm</w:t>
      </w:r>
      <w:r>
        <w:t>é</w:t>
      </w:r>
      <w:r>
        <w:t>nyek saját fűtőanyag</w:t>
      </w:r>
      <w:r>
        <w:rPr>
          <w:rStyle w:val="Lbjegyzet-hivatkozs"/>
        </w:rPr>
        <w:footnoteReference w:id="8"/>
      </w:r>
      <w:r>
        <w:t xml:space="preserve"> előállítással, projekt cég létrehozásával. A cég alapvető tevékenysége a hőszolgá</w:t>
      </w:r>
      <w:r>
        <w:t>l</w:t>
      </w:r>
      <w:r>
        <w:t>tatás. Az alapanyag beszállítója l</w:t>
      </w:r>
      <w:r>
        <w:t>e</w:t>
      </w:r>
      <w:r>
        <w:t>het a tagja a szervezetnek, de lehet szervez</w:t>
      </w:r>
      <w:r>
        <w:t>e</w:t>
      </w:r>
      <w:r>
        <w:t>ten kívüli is.</w:t>
      </w:r>
    </w:p>
    <w:p w:rsidR="00000000" w:rsidRDefault="00795E81">
      <w:pPr>
        <w:pStyle w:val="Szvegtrzsbehzssal"/>
        <w:ind w:left="360"/>
      </w:pPr>
    </w:p>
    <w:p w:rsidR="00000000" w:rsidRDefault="00795E81">
      <w:pPr>
        <w:pStyle w:val="Szvegtrzsbehzssal"/>
        <w:numPr>
          <w:ilvl w:val="0"/>
          <w:numId w:val="3"/>
        </w:numPr>
      </w:pPr>
      <w:r>
        <w:t>Egyedi fűtéssel rendelkező intézm</w:t>
      </w:r>
      <w:r>
        <w:t>é</w:t>
      </w:r>
      <w:r>
        <w:t>nyek, külsőktől beszerzett fűtőanyag (pellet, brikett) felhasználásával. Ebben az esetben is projekt cég jön létre, amely a közintézmények sz</w:t>
      </w:r>
      <w:r>
        <w:t>á</w:t>
      </w:r>
      <w:r>
        <w:t>mára hőt szolgáltat</w:t>
      </w:r>
      <w:r>
        <w:t>.</w:t>
      </w:r>
    </w:p>
    <w:p w:rsidR="00000000" w:rsidRDefault="00795E81">
      <w:pPr>
        <w:pStyle w:val="Szvegtrzsbehzssal"/>
        <w:ind w:left="0"/>
      </w:pPr>
    </w:p>
    <w:p w:rsidR="00000000" w:rsidRDefault="00795E81">
      <w:pPr>
        <w:pStyle w:val="Szvegtrzsbehzssal"/>
        <w:numPr>
          <w:ilvl w:val="0"/>
          <w:numId w:val="3"/>
        </w:numPr>
      </w:pPr>
      <w:r>
        <w:t>Közösségi fűtőmű esetén a hőszolgáltatás</w:t>
      </w:r>
      <w:r>
        <w:rPr>
          <w:rStyle w:val="Lbjegyzet-hivatkozs"/>
        </w:rPr>
        <w:footnoteReference w:id="9"/>
      </w:r>
      <w:r>
        <w:t xml:space="preserve"> biomassza (megújuló) ala</w:t>
      </w:r>
      <w:r>
        <w:t>p</w:t>
      </w:r>
      <w:r>
        <w:t>ra való helyezése rendszeren belüli, vagy kívüli alapanyag beszállít</w:t>
      </w:r>
      <w:r>
        <w:t>ó</w:t>
      </w:r>
      <w:r>
        <w:t xml:space="preserve">val.  </w:t>
      </w:r>
    </w:p>
    <w:p w:rsidR="00000000" w:rsidRDefault="00795E81">
      <w:pPr>
        <w:ind w:left="360"/>
        <w:jc w:val="both"/>
        <w:rPr>
          <w:sz w:val="28"/>
        </w:rPr>
      </w:pPr>
      <w:r>
        <w:rPr>
          <w:sz w:val="28"/>
        </w:rPr>
        <w:t xml:space="preserve"> </w:t>
      </w:r>
    </w:p>
    <w:p w:rsidR="00000000" w:rsidRDefault="00795E81">
      <w:pPr>
        <w:ind w:left="360"/>
        <w:jc w:val="both"/>
        <w:rPr>
          <w:sz w:val="28"/>
        </w:rPr>
      </w:pPr>
      <w:r>
        <w:rPr>
          <w:sz w:val="28"/>
        </w:rPr>
        <w:t xml:space="preserve">Mindhárom típusnál szükséges – tekintettel az önkormányzatok jelenlegi pénzügyi helyzetére - </w:t>
      </w:r>
      <w:r>
        <w:rPr>
          <w:b/>
          <w:bCs/>
          <w:sz w:val="28"/>
        </w:rPr>
        <w:t>egy olyan pénzü</w:t>
      </w:r>
      <w:r>
        <w:rPr>
          <w:b/>
          <w:bCs/>
          <w:sz w:val="28"/>
        </w:rPr>
        <w:t>gyi befektető, amelynek érdekében áll a megújuló energia felhasználás növelésének elősegítése</w:t>
      </w:r>
      <w:r>
        <w:rPr>
          <w:sz w:val="28"/>
        </w:rPr>
        <w:t xml:space="preserve">. A rendszer viszont garantálni tudja a befektetés maximum 5 éven belüli megtérülését,       - a jelenlegi támogatási és szabályozó rendszer mellett, -a jelenlegi </w:t>
      </w:r>
      <w:r>
        <w:rPr>
          <w:sz w:val="28"/>
        </w:rPr>
        <w:t>földgáz árral számolva.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numPr>
          <w:ilvl w:val="0"/>
          <w:numId w:val="4"/>
        </w:numPr>
        <w:jc w:val="both"/>
        <w:rPr>
          <w:b/>
          <w:bCs/>
          <w:sz w:val="28"/>
          <w:u w:val="double"/>
        </w:rPr>
      </w:pPr>
      <w:r>
        <w:rPr>
          <w:b/>
          <w:bCs/>
          <w:sz w:val="28"/>
          <w:u w:val="double"/>
        </w:rPr>
        <w:t>Egyedi fűtéssel rendelkező önkormányzati intézmények helyi tüz</w:t>
      </w:r>
      <w:r>
        <w:rPr>
          <w:b/>
          <w:bCs/>
          <w:sz w:val="28"/>
          <w:u w:val="double"/>
        </w:rPr>
        <w:t>e</w:t>
      </w:r>
      <w:r>
        <w:rPr>
          <w:b/>
          <w:bCs/>
          <w:sz w:val="28"/>
          <w:u w:val="double"/>
        </w:rPr>
        <w:t>lőanyag előállítással, külső alapanyag beszállítással.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pStyle w:val="Cmsor5"/>
        <w:ind w:left="0"/>
      </w:pPr>
      <w:r>
        <w:t>Alapeset</w:t>
      </w:r>
    </w:p>
    <w:p w:rsidR="00000000" w:rsidRDefault="00795E81"/>
    <w:p w:rsidR="00000000" w:rsidRDefault="00795E81">
      <w:pPr>
        <w:jc w:val="both"/>
        <w:rPr>
          <w:sz w:val="28"/>
        </w:rPr>
      </w:pPr>
      <w:r>
        <w:rPr>
          <w:sz w:val="28"/>
        </w:rPr>
        <w:t>Egymáshoz közeli önkormányzatok, (illetve azok szolgáltatásra létrehozott sze</w:t>
      </w:r>
      <w:r>
        <w:rPr>
          <w:sz w:val="28"/>
        </w:rPr>
        <w:t>r</w:t>
      </w:r>
      <w:r>
        <w:rPr>
          <w:sz w:val="28"/>
        </w:rPr>
        <w:t>vezetei, ha vannak ilyen</w:t>
      </w:r>
      <w:r>
        <w:rPr>
          <w:sz w:val="28"/>
        </w:rPr>
        <w:t xml:space="preserve">ek) valamint a befektető projekt céget hoz létre. 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projekt cég az önkormányzatok intézményeiben lecseréli, illetve beépíti a b</w:t>
      </w:r>
      <w:r>
        <w:rPr>
          <w:sz w:val="28"/>
        </w:rPr>
        <w:t>i</w:t>
      </w:r>
      <w:r>
        <w:rPr>
          <w:sz w:val="28"/>
        </w:rPr>
        <w:t>omassza (pellet) tüzelésre alkalmas kazánokat, és létrehoz egy 2 - 4 000 to</w:t>
      </w:r>
      <w:r>
        <w:rPr>
          <w:sz w:val="28"/>
        </w:rPr>
        <w:t>n</w:t>
      </w:r>
      <w:r>
        <w:rPr>
          <w:sz w:val="28"/>
        </w:rPr>
        <w:t>na/év kapacitású pellet üzemet. A beépített eszköz</w:t>
      </w:r>
      <w:r>
        <w:rPr>
          <w:sz w:val="28"/>
        </w:rPr>
        <w:t>ök, valamint az üzem a tová</w:t>
      </w:r>
      <w:r>
        <w:rPr>
          <w:sz w:val="28"/>
        </w:rPr>
        <w:t>b</w:t>
      </w:r>
      <w:r>
        <w:rPr>
          <w:sz w:val="28"/>
        </w:rPr>
        <w:t>biakban a projekt cég tulajdona, amely az önkormányzat számára szerződés sz</w:t>
      </w:r>
      <w:r>
        <w:rPr>
          <w:sz w:val="28"/>
        </w:rPr>
        <w:t>e</w:t>
      </w:r>
      <w:r>
        <w:rPr>
          <w:sz w:val="28"/>
        </w:rPr>
        <w:t>rint saját eszközökkel és tüzelővel hőt szolgáltat.</w:t>
      </w:r>
    </w:p>
    <w:p w:rsidR="00000000" w:rsidRDefault="00795E81">
      <w:pPr>
        <w:pStyle w:val="Szvegtrzsbehzssal"/>
      </w:pPr>
      <w:r>
        <w:t>A hőszolgáltatásban a projekt cég garantálni tudja az önkormányzatnak a hőt nettó áron 15-25 %-al ol</w:t>
      </w:r>
      <w:r>
        <w:t>csóbban adja, mintha azt gázzal állítanák elő.</w:t>
      </w:r>
    </w:p>
    <w:p w:rsidR="00000000" w:rsidRDefault="00795E81">
      <w:pPr>
        <w:ind w:left="1416"/>
        <w:jc w:val="both"/>
        <w:rPr>
          <w:sz w:val="28"/>
        </w:rPr>
      </w:pPr>
    </w:p>
    <w:p w:rsidR="00000000" w:rsidRDefault="00795E81">
      <w:pPr>
        <w:pStyle w:val="Szvegtrzsbehzssal2"/>
        <w:rPr>
          <w:i/>
          <w:iCs/>
        </w:rPr>
      </w:pPr>
      <w:r>
        <w:rPr>
          <w:i/>
          <w:iCs/>
        </w:rPr>
        <w:t>Figyelembe véve, hogy a megújuló energiából előállított hő ÁFÁ-ja 5%, a földgázé pedig 25%. Ez az önkormányzatnak – mivel ÁFÁ-t nem igényelhet vissza - ez valójában 35-45 fűtési költség megtakar</w:t>
      </w:r>
      <w:r>
        <w:rPr>
          <w:i/>
          <w:iCs/>
        </w:rPr>
        <w:t>í</w:t>
      </w:r>
      <w:r>
        <w:rPr>
          <w:i/>
          <w:iCs/>
        </w:rPr>
        <w:t>tást j</w:t>
      </w:r>
      <w:r>
        <w:rPr>
          <w:i/>
          <w:iCs/>
        </w:rPr>
        <w:t>e</w:t>
      </w:r>
      <w:r>
        <w:rPr>
          <w:i/>
          <w:iCs/>
        </w:rPr>
        <w:t>lent.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Az ö</w:t>
      </w:r>
      <w:r>
        <w:rPr>
          <w:sz w:val="28"/>
        </w:rPr>
        <w:t>n</w:t>
      </w:r>
      <w:r>
        <w:rPr>
          <w:sz w:val="28"/>
        </w:rPr>
        <w:t>kormányzat – lehetőségeinek megfelelően - a cégbe apportként területet, illetve a fűtéssel összefüggő épületeket viszi be. Amennyiben ez nem lehetséges, a meglévő kazánházak használatát, szerződésben, a projekt cég rende</w:t>
      </w:r>
      <w:r>
        <w:rPr>
          <w:sz w:val="28"/>
        </w:rPr>
        <w:t>l</w:t>
      </w:r>
      <w:r>
        <w:rPr>
          <w:sz w:val="28"/>
        </w:rPr>
        <w:t>kezésére bocsátja. Természete</w:t>
      </w:r>
      <w:r>
        <w:rPr>
          <w:sz w:val="28"/>
        </w:rPr>
        <w:t>sen – ha mód van rá - kívánatos, hogy az önkormányzat b</w:t>
      </w:r>
      <w:r>
        <w:rPr>
          <w:sz w:val="28"/>
        </w:rPr>
        <w:t>i</w:t>
      </w:r>
      <w:r>
        <w:rPr>
          <w:sz w:val="28"/>
        </w:rPr>
        <w:t>zonyos pénzzel is belépjen az érdekeltség miatt.</w:t>
      </w:r>
      <w:r>
        <w:rPr>
          <w:rStyle w:val="Lbjegyzet-hivatkozs"/>
          <w:sz w:val="28"/>
        </w:rPr>
        <w:footnoteReference w:id="10"/>
      </w:r>
      <w:r>
        <w:rPr>
          <w:sz w:val="28"/>
        </w:rPr>
        <w:t xml:space="preserve"> 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projekt cég a területen lévő gazdálkodókkal, az alapanyag beszállítókkal ho</w:t>
      </w:r>
      <w:r>
        <w:rPr>
          <w:sz w:val="28"/>
        </w:rPr>
        <w:t>s</w:t>
      </w:r>
      <w:r>
        <w:rPr>
          <w:sz w:val="28"/>
        </w:rPr>
        <w:t>szú távú szerződést köt, a mennyiség és az ár meghatározásával.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pStyle w:val="Szvegtrzsbehzssal2"/>
      </w:pPr>
      <w:r>
        <w:t>A szü</w:t>
      </w:r>
      <w:r>
        <w:t>kséges alapanyagot a pelettáló üzem kapacitása határozza meg. A 2-4 000 tonna kapacitás a pellettálásban már biztonságosan működtethető nagyüzemnek minősül, a szükséges alapanyag pedig 15 km-en belül mindenütt bizonyosan begyűjthető.</w:t>
      </w:r>
    </w:p>
    <w:p w:rsidR="00000000" w:rsidRDefault="00795E81">
      <w:pPr>
        <w:pStyle w:val="Szvegtrzsbehzssal3"/>
      </w:pPr>
      <w:r>
        <w:t>A beszállítói szerződé</w:t>
      </w:r>
      <w:r>
        <w:t>seket olyan gazdálkodókkal köti a cég, amelyek rendelkeznek a betakarításhoz szükséges eszközö</w:t>
      </w:r>
      <w:r>
        <w:t>k</w:t>
      </w:r>
      <w:r>
        <w:t>kel.</w:t>
      </w:r>
    </w:p>
    <w:p w:rsidR="00000000" w:rsidRDefault="00795E81">
      <w:pPr>
        <w:pStyle w:val="Szvegtrzsbehzssal3"/>
        <w:ind w:left="0"/>
        <w:jc w:val="left"/>
      </w:pPr>
    </w:p>
    <w:p w:rsidR="00000000" w:rsidRDefault="00795E81">
      <w:pPr>
        <w:pStyle w:val="Szvegtrzsbehzssal3"/>
        <w:ind w:left="0"/>
        <w:jc w:val="left"/>
      </w:pPr>
    </w:p>
    <w:p w:rsidR="00000000" w:rsidRDefault="00795E81">
      <w:pPr>
        <w:pStyle w:val="Szvegtrzsbehzssal3"/>
        <w:ind w:left="0"/>
        <w:jc w:val="left"/>
      </w:pPr>
    </w:p>
    <w:p w:rsidR="00000000" w:rsidRDefault="00795E81">
      <w:pPr>
        <w:pStyle w:val="Szvegtrzsbehzssal3"/>
        <w:ind w:left="0"/>
        <w:jc w:val="left"/>
        <w:sectPr w:rsidR="00000000">
          <w:footerReference w:type="even" r:id="rId11"/>
          <w:footerReference w:type="default" r:id="rId12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t>A modell blokksémája az alábbi:</w:t>
      </w:r>
    </w:p>
    <w:p w:rsidR="00000000" w:rsidRDefault="00A72932">
      <w:pPr>
        <w:ind w:left="360"/>
        <w:jc w:val="both"/>
        <w:rPr>
          <w:sz w:val="28"/>
        </w:rPr>
      </w:pPr>
      <w:r>
        <w:rPr>
          <w:noProof/>
          <w:sz w:val="20"/>
        </w:rPr>
        <w:pict>
          <v:shape id="_x0000_s1114" type="#_x0000_t202" style="position:absolute;left:0;text-align:left;margin-left:4.5pt;margin-top:-43.15pt;width:3in;height:62.85pt;z-index:251676672" fillcolor="yellow">
            <v:fill opacity=".5"/>
            <v:textbox style="mso-next-textbox:#_x0000_s1114">
              <w:txbxContent>
                <w:p w:rsidR="00000000" w:rsidRDefault="00795E81">
                  <w:pPr>
                    <w:pStyle w:val="Szvegtrzs3"/>
                  </w:pPr>
                  <w:r>
                    <w:t>Önkormányzati intézmények hőellátási rendszere. Elemek és kapcsolatok.</w:t>
                  </w:r>
                </w:p>
              </w:txbxContent>
            </v:textbox>
          </v:shape>
        </w:pict>
      </w:r>
    </w:p>
    <w:p w:rsidR="00000000" w:rsidRDefault="00795E81">
      <w:r>
        <w:rPr>
          <w:noProof/>
          <w:sz w:val="20"/>
        </w:rPr>
        <w:pict>
          <v:shape id="_x0000_s1118" type="#_x0000_t202" style="position:absolute;margin-left:567pt;margin-top:-53.85pt;width:180pt;height:63pt;z-index:251680768" fillcolor="red">
            <v:textbox>
              <w:txbxContent>
                <w:p w:rsidR="00000000" w:rsidRDefault="00795E81">
                  <w:pPr>
                    <w:pStyle w:val="Szvegtrzs2"/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>Típus (I) Egyedi fűtési rendszer Pr</w:t>
                  </w:r>
                  <w:r>
                    <w:rPr>
                      <w:color w:val="FFFF00"/>
                    </w:rPr>
                    <w:t>ojekt cég által szolgáltatott hőenergiával, külső alapanyag b</w:t>
                  </w:r>
                  <w:r>
                    <w:rPr>
                      <w:color w:val="FFFF00"/>
                    </w:rPr>
                    <w:t>e</w:t>
                  </w:r>
                  <w:r>
                    <w:rPr>
                      <w:color w:val="FFFF00"/>
                    </w:rPr>
                    <w:t>szállítóval.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6" type="#_x0000_t202" style="position:absolute;margin-left:279pt;margin-top:-27pt;width:117pt;height:18pt;z-index:251652096">
            <v:textbox inset=",0,,0">
              <w:txbxContent>
                <w:p w:rsidR="00000000" w:rsidRDefault="00795E81">
                  <w:pPr>
                    <w:jc w:val="center"/>
                    <w:rPr>
                      <w:b/>
                      <w:bCs/>
                      <w:sz w:val="32"/>
                    </w:rPr>
                  </w:pPr>
                  <w:r>
                    <w:rPr>
                      <w:b/>
                      <w:bCs/>
                      <w:sz w:val="32"/>
                    </w:rPr>
                    <w:t>Környezet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99" style="position:absolute;margin-left:-54pt;margin-top:-54pt;width:11in;height:540pt;z-index:251661312" filled="f" fillcolor="#ff9" strokecolor="red" strokeweight="10pt">
            <v:fill opacity=".5"/>
            <v:stroke dashstyle="1 1" linestyle="thickBetweenThin" endcap="round"/>
          </v:oval>
        </w:pict>
      </w:r>
    </w:p>
    <w:p w:rsidR="00000000" w:rsidRDefault="00795E81">
      <w:r>
        <w:rPr>
          <w:noProof/>
          <w:sz w:val="20"/>
        </w:rPr>
        <w:pict>
          <v:line id="_x0000_s1098" style="position:absolute;flip:x;z-index:251660288" from="126pt,4.2pt" to="612pt,4.2pt" strokecolor="navy" strokeweight="2.25pt">
            <v:stroke dashstyle="dash"/>
          </v:line>
        </w:pict>
      </w:r>
      <w:r>
        <w:rPr>
          <w:noProof/>
          <w:sz w:val="20"/>
        </w:rPr>
        <w:pict>
          <v:line id="_x0000_s1097" style="position:absolute;flip:y;z-index:251659264" from="612pt,4.2pt" to="612pt,139.2pt" strokecolor="navy" strokeweight="2.25pt">
            <v:stroke dashstyle="dash"/>
          </v:line>
        </w:pict>
      </w:r>
      <w:r>
        <w:rPr>
          <w:noProof/>
          <w:sz w:val="20"/>
        </w:rPr>
        <w:pict>
          <v:line id="_x0000_s1100" style="position:absolute;z-index:251662336" from="125.85pt,4.2pt" to="125.85pt,40.2pt" strokecolor="navy" strokeweight="2.25pt">
            <v:stroke dashstyle="dash" endarrow="block"/>
          </v:line>
        </w:pict>
      </w:r>
    </w:p>
    <w:p w:rsidR="00000000" w:rsidRDefault="00795E81">
      <w:r>
        <w:rPr>
          <w:noProof/>
          <w:sz w:val="20"/>
        </w:rPr>
        <w:pict>
          <v:shape id="_x0000_s1115" type="#_x0000_t202" style="position:absolute;margin-left:513.15pt;margin-top:8.4pt;width:81pt;height:45pt;z-index:251677696" fillcolor="silver">
            <v:fill opacity=".5"/>
            <v:textbox>
              <w:txbxContent>
                <w:p w:rsidR="00000000" w:rsidRDefault="00795E8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Hulladék elhelyezés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68" style="position:absolute;margin-left:89.85pt;margin-top:-.6pt;width:504.15pt;height:441pt;z-index:251645952" filled="f" strokecolor="blue" strokeweight="6pt">
            <v:fill opacity=".5"/>
          </v:oval>
        </w:pict>
      </w:r>
      <w:r>
        <w:rPr>
          <w:noProof/>
          <w:sz w:val="20"/>
        </w:rPr>
        <w:pict>
          <v:group id="_x0000_s1088" style="position:absolute;margin-left:36pt;margin-top:8.4pt;width:387pt;height:75.6pt;z-index:-251662336" coordorigin="2138,2138" coordsize="7740,1512" wrapcoords="-42 0 -42 21600 6112 21600 6112 20531 21600 18392 21600 17323 6112 17109 6112 0 -42 0">
            <v:shape id="_x0000_s1089" type="#_x0000_t202" style="position:absolute;left:2138;top:2138;width:2160;height:1512" fillcolor="lime">
              <v:fill opacity=".5"/>
              <v:textbox inset=",0,,0">
                <w:txbxContent>
                  <w:p w:rsidR="00000000" w:rsidRDefault="00795E81">
                    <w:pPr>
                      <w:pStyle w:val="Cmsor1"/>
                    </w:pPr>
                    <w:r>
                      <w:t>Inputok</w:t>
                    </w:r>
                  </w:p>
                </w:txbxContent>
              </v:textbox>
            </v:shape>
            <v:shape id="_x0000_s1090" type="#_x0000_t202" style="position:absolute;left:2498;top:3218;width:1440;height:338" fillcolor="lime">
              <v:fill opacity=".5"/>
              <v:textbox style="mso-next-textbox:#_x0000_s1090" inset=",0,,0">
                <w:txbxContent>
                  <w:p w:rsidR="00000000" w:rsidRDefault="00795E81">
                    <w:pPr>
                      <w:jc w:val="center"/>
                    </w:pPr>
                    <w:r>
                      <w:rPr>
                        <w:b/>
                        <w:bCs/>
                      </w:rPr>
                      <w:t>Alapanyag</w:t>
                    </w:r>
                    <w:r>
                      <w:t>v</w:t>
                    </w:r>
                  </w:p>
                </w:txbxContent>
              </v:textbox>
            </v:shape>
            <v:shape id="_x0000_s1091" type="#_x0000_t202" style="position:absolute;left:2498;top:2570;width:1620;height:508" fillcolor="lime">
              <v:fill opacity=".5"/>
              <v:textbox inset=",0,,0">
                <w:txbxContent>
                  <w:p w:rsidR="00000000" w:rsidRDefault="00795E81">
                    <w:pPr>
                      <w:jc w:val="center"/>
                    </w:pPr>
                    <w:r>
                      <w:rPr>
                        <w:b/>
                        <w:bCs/>
                      </w:rPr>
                      <w:t>Tüzel</w:t>
                    </w:r>
                    <w:r>
                      <w:rPr>
                        <w:b/>
                        <w:bCs/>
                      </w:rPr>
                      <w:t>ő</w:t>
                    </w:r>
                    <w:r>
                      <w:rPr>
                        <w:b/>
                        <w:bCs/>
                      </w:rPr>
                      <w:t>anyag</w:t>
                    </w:r>
                    <w:r>
                      <w:t xml:space="preserve"> hiba esetén</w:t>
                    </w:r>
                  </w:p>
                </w:txbxContent>
              </v:textbox>
            </v:shape>
            <v:line id="_x0000_s1092" style="position:absolute" from="3938,3398" to="9878,3398" strokecolor="#f90" strokeweight="3pt"/>
          </v:group>
        </w:pict>
      </w:r>
    </w:p>
    <w:p w:rsidR="00000000" w:rsidRDefault="00795E81">
      <w:r>
        <w:rPr>
          <w:noProof/>
          <w:sz w:val="20"/>
        </w:rPr>
        <w:pict>
          <v:shape id="_x0000_s1070" type="#_x0000_t202" style="position:absolute;margin-left:297pt;margin-top:12.6pt;width:117pt;height:27pt;z-index:251648000">
            <v:textbox inset=",0,,0">
              <w:txbxContent>
                <w:p w:rsidR="00000000" w:rsidRDefault="00795E81">
                  <w:pPr>
                    <w:jc w:val="center"/>
                    <w:rPr>
                      <w:b/>
                      <w:bCs/>
                      <w:sz w:val="36"/>
                    </w:rPr>
                  </w:pPr>
                  <w:r>
                    <w:rPr>
                      <w:b/>
                      <w:bCs/>
                      <w:sz w:val="36"/>
                    </w:rPr>
                    <w:t>A ren</w:t>
                  </w:r>
                  <w:r>
                    <w:rPr>
                      <w:b/>
                      <w:bCs/>
                      <w:sz w:val="36"/>
                    </w:rPr>
                    <w:t>d</w:t>
                  </w:r>
                  <w:r>
                    <w:rPr>
                      <w:b/>
                      <w:bCs/>
                      <w:sz w:val="36"/>
                    </w:rPr>
                    <w:t>szer</w:t>
                  </w:r>
                </w:p>
              </w:txbxContent>
            </v:textbox>
          </v:shape>
        </w:pict>
      </w:r>
    </w:p>
    <w:p w:rsidR="00000000" w:rsidRDefault="00795E81">
      <w:r>
        <w:rPr>
          <w:noProof/>
          <w:sz w:val="20"/>
        </w:rPr>
        <w:pict>
          <v:line id="_x0000_s1116" style="position:absolute;flip:y;z-index:251678720" from="450pt,7.95pt" to="513pt,79.95pt" strokecolor="gray" strokeweight="3pt">
            <v:stroke endarrow="block"/>
          </v:line>
        </w:pict>
      </w:r>
      <w:r>
        <w:rPr>
          <w:noProof/>
          <w:sz w:val="20"/>
        </w:rPr>
        <w:pict>
          <v:line id="_x0000_s1095" style="position:absolute;z-index:251657216" from="279pt,7.8pt" to="279pt,165.45pt" strokeweight="2.25pt">
            <v:stroke dashstyle="1 1"/>
          </v:line>
        </w:pict>
      </w:r>
      <w:r>
        <w:rPr>
          <w:noProof/>
          <w:sz w:val="20"/>
        </w:rPr>
        <w:pict>
          <v:line id="_x0000_s1094" style="position:absolute;z-index:251656192" from="135pt,7.8pt" to="279pt,7.8pt" strokeweight="2.25pt">
            <v:stroke dashstyle="1 1"/>
          </v:line>
        </w:pict>
      </w:r>
    </w:p>
    <w:p w:rsidR="00000000" w:rsidRDefault="00795E81"/>
    <w:p w:rsidR="00000000" w:rsidRDefault="00795E81">
      <w:r>
        <w:rPr>
          <w:noProof/>
          <w:sz w:val="20"/>
        </w:rPr>
        <w:pict>
          <v:shape id="_x0000_s1117" type="#_x0000_t202" style="position:absolute;margin-left:468pt;margin-top:7.2pt;width:1in;height:18pt;z-index:251679744">
            <v:textbox>
              <w:txbxContent>
                <w:p w:rsidR="00000000" w:rsidRDefault="00795E81">
                  <w:r>
                    <w:t>Szerződés</w:t>
                  </w:r>
                </w:p>
              </w:txbxContent>
            </v:textbox>
          </v:shape>
        </w:pict>
      </w:r>
    </w:p>
    <w:p w:rsidR="00000000" w:rsidRDefault="00795E81">
      <w:r>
        <w:rPr>
          <w:noProof/>
          <w:sz w:val="20"/>
        </w:rPr>
        <w:pict>
          <v:line id="_x0000_s1104" style="position:absolute;flip:y;z-index:251666432" from="81pt,11.4pt" to="81pt,227.4pt" strokecolor="#f60" strokeweight="2.25pt">
            <v:stroke startarrow="block" endarrow="block"/>
          </v:line>
        </w:pict>
      </w:r>
      <w:r>
        <w:rPr>
          <w:noProof/>
          <w:sz w:val="20"/>
        </w:rPr>
        <w:pict>
          <v:line id="_x0000_s1093" style="position:absolute;z-index:251655168" from="423pt,2.4pt" to="423pt,70.2pt" strokecolor="#f90" strokeweight="3pt">
            <v:stroke endarrow="block"/>
          </v:line>
        </w:pict>
      </w:r>
    </w:p>
    <w:p w:rsidR="00000000" w:rsidRDefault="00795E81"/>
    <w:p w:rsidR="00000000" w:rsidRDefault="00795E81">
      <w:r>
        <w:rPr>
          <w:noProof/>
          <w:sz w:val="20"/>
        </w:rPr>
        <w:pict>
          <v:group id="_x0000_s1049" style="position:absolute;margin-left:4in;margin-top:10.8pt;width:162.4pt;height:189pt;z-index:251635712" coordorigin="7178,1950" coordsize="3248,3780">
            <v:shape id="_x0000_s1050" type="#_x0000_t202" style="position:absolute;left:7178;top:1950;width:3248;height:3780" fillcolor="#ff9" strokecolor="blue">
              <v:fill opacity=".5"/>
              <v:textbox inset=",0,,0">
                <w:txbxContent>
                  <w:p w:rsidR="00000000" w:rsidRDefault="00795E81">
                    <w:pPr>
                      <w:pStyle w:val="Cmsor1"/>
                    </w:pPr>
                    <w:r>
                      <w:t>Működte</w:t>
                    </w:r>
                    <w:r>
                      <w:t>tés technika</w:t>
                    </w:r>
                  </w:p>
                  <w:p w:rsidR="00000000" w:rsidRDefault="00795E81"/>
                  <w:p w:rsidR="00000000" w:rsidRDefault="00795E81"/>
                  <w:p w:rsidR="00000000" w:rsidRDefault="00795E81"/>
                  <w:p w:rsidR="00000000" w:rsidRDefault="00795E81"/>
                  <w:p w:rsidR="00000000" w:rsidRDefault="00795E81"/>
                  <w:p w:rsidR="00000000" w:rsidRDefault="00795E81"/>
                  <w:p w:rsidR="00000000" w:rsidRDefault="00795E81"/>
                  <w:p w:rsidR="00000000" w:rsidRDefault="00795E81"/>
                  <w:p w:rsidR="00000000" w:rsidRDefault="00795E81"/>
                  <w:p w:rsidR="00000000" w:rsidRDefault="00795E81"/>
                  <w:p w:rsidR="00000000" w:rsidRDefault="00795E81"/>
                  <w:p w:rsidR="00000000" w:rsidRDefault="00795E81">
                    <w:pPr>
                      <w:ind w:left="708"/>
                    </w:pPr>
                  </w:p>
                  <w:p w:rsidR="00000000" w:rsidRDefault="00795E81"/>
                </w:txbxContent>
              </v:textbox>
            </v:shape>
            <v:shape id="_x0000_s1051" type="#_x0000_t202" style="position:absolute;left:8078;top:2557;width:2160;height:540" fillcolor="#ff9" strokecolor="blue">
              <v:fill opacity=".5"/>
              <v:textbox inset=",0,,0">
                <w:txbxContent>
                  <w:p w:rsidR="00000000" w:rsidRDefault="00795E81">
                    <w:pPr>
                      <w:jc w:val="center"/>
                    </w:pPr>
                    <w:r>
                      <w:rPr>
                        <w:b/>
                        <w:bCs/>
                      </w:rPr>
                      <w:t>Alapanyag fe</w:t>
                    </w:r>
                    <w:r>
                      <w:rPr>
                        <w:b/>
                        <w:bCs/>
                      </w:rPr>
                      <w:t>l</w:t>
                    </w:r>
                    <w:r>
                      <w:rPr>
                        <w:b/>
                        <w:bCs/>
                      </w:rPr>
                      <w:t>dolgozás eszközei</w:t>
                    </w:r>
                  </w:p>
                </w:txbxContent>
              </v:textbox>
            </v:shape>
            <v:shape id="_x0000_s1052" type="#_x0000_t202" style="position:absolute;left:7358;top:4717;width:2880;height:900" fillcolor="#ff9" strokecolor="blue">
              <v:fill opacity=".5"/>
              <v:textbox inset=",0,,0">
                <w:txbxContent>
                  <w:p w:rsidR="00000000" w:rsidRDefault="00795E81">
                    <w:pPr>
                      <w:pStyle w:val="Szvegtrzs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Kapacitások összehang</w:t>
                    </w:r>
                    <w:r>
                      <w:rPr>
                        <w:b/>
                        <w:bCs/>
                      </w:rPr>
                      <w:t>o</w:t>
                    </w:r>
                    <w:r>
                      <w:rPr>
                        <w:b/>
                        <w:bCs/>
                      </w:rPr>
                      <w:t>lása eszközök kompatib</w:t>
                    </w:r>
                    <w:r>
                      <w:rPr>
                        <w:b/>
                        <w:bCs/>
                      </w:rPr>
                      <w:t>i</w:t>
                    </w:r>
                    <w:r>
                      <w:rPr>
                        <w:b/>
                        <w:bCs/>
                      </w:rPr>
                      <w:t>litása</w:t>
                    </w:r>
                  </w:p>
                </w:txbxContent>
              </v:textbox>
            </v:shape>
            <v:shape id="_x0000_s1053" type="#_x0000_t202" style="position:absolute;left:8078;top:3277;width:2160;height:540" fillcolor="#ff9" strokecolor="blue">
              <v:fill opacity=".5"/>
              <v:textbox inset=",0,,0">
                <w:txbxContent>
                  <w:p w:rsidR="00000000" w:rsidRDefault="00795E81">
                    <w:pPr>
                      <w:pStyle w:val="Szvegtrzs"/>
                    </w:pPr>
                    <w:r>
                      <w:t>Hőszolgáltatás eszközei</w:t>
                    </w:r>
                  </w:p>
                </w:txbxContent>
              </v:textbox>
            </v:shape>
            <v:shape id="_x0000_s1054" type="#_x0000_t202" style="position:absolute;left:8078;top:3997;width:1980;height:540" fillcolor="#ff9" strokecolor="blue">
              <v:fill opacity=".5"/>
              <v:textbox inset=",0,,0">
                <w:txbxContent>
                  <w:p w:rsidR="00000000" w:rsidRDefault="00795E81">
                    <w:pPr>
                      <w:jc w:val="center"/>
                    </w:pPr>
                    <w:r>
                      <w:t>Logisztika es</w:t>
                    </w:r>
                    <w:r>
                      <w:t>z</w:t>
                    </w:r>
                    <w:r>
                      <w:t>közei</w:t>
                    </w:r>
                  </w:p>
                </w:txbxContent>
              </v:textbox>
            </v:shape>
            <v:line id="_x0000_s1055" style="position:absolute;flip:y" from="7718,2377" to="7718,4717" strokecolor="blue">
              <v:stroke endarrow="block"/>
            </v:line>
            <v:line id="_x0000_s1056" style="position:absolute;flip:x" from="7718,2925" to="8078,2925" strokecolor="blue"/>
            <v:line id="_x0000_s1057" style="position:absolute;flip:x" from="7718,3465" to="8078,3465" strokecolor="blue"/>
            <v:line id="_x0000_s1058" style="position:absolute;flip:x" from="7718,4185" to="8078,4185" strokecolor="blue"/>
          </v:group>
        </w:pict>
      </w:r>
    </w:p>
    <w:p w:rsidR="00000000" w:rsidRDefault="00795E81">
      <w:r>
        <w:rPr>
          <w:noProof/>
          <w:sz w:val="20"/>
        </w:rPr>
        <w:pict>
          <v:group id="_x0000_s1040" style="position:absolute;margin-left:126pt;margin-top:6pt;width:126pt;height:108pt;z-index:251634688" coordorigin="3938,1958" coordsize="2520,2160">
            <v:shape id="_x0000_s1041" type="#_x0000_t202" style="position:absolute;left:3938;top:1958;width:2520;height:2160" fillcolor="#9cf">
              <v:fill opacity=".5"/>
              <v:textbox style="mso-next-textbox:#_x0000_s1041" inset=",0,,0">
                <w:txbxContent>
                  <w:p w:rsidR="00000000" w:rsidRDefault="00795E81">
                    <w:pPr>
                      <w:pStyle w:val="Cmsor1"/>
                    </w:pPr>
                    <w:r>
                      <w:t>Tulajdonosok</w:t>
                    </w:r>
                  </w:p>
                </w:txbxContent>
              </v:textbox>
            </v:shape>
            <v:shape id="_x0000_s1042" type="#_x0000_t202" style="position:absolute;left:4478;top:2498;width:1800;height:360" fillcolor="#9cf">
              <v:fill opacity=".5"/>
              <v:textbox style="mso-next-textbox:#_x0000_s1042" inset=",0,,0">
                <w:txbxContent>
                  <w:p w:rsidR="00000000" w:rsidRDefault="00795E81">
                    <w:r>
                      <w:t>Önkormányzat</w:t>
                    </w:r>
                  </w:p>
                </w:txbxContent>
              </v:textbox>
            </v:shape>
            <v:shape id="_x0000_s1043" type="#_x0000_t202" style="position:absolute;left:4478;top:3578;width:1260;height:360" fillcolor="#9cf">
              <v:fill opacity=".5"/>
              <v:textbox style="mso-next-textbox:#_x0000_s1043" inset=",0,,0">
                <w:txbxContent>
                  <w:p w:rsidR="00000000" w:rsidRDefault="00795E81">
                    <w:r>
                      <w:t>Befektető</w:t>
                    </w:r>
                  </w:p>
                </w:txbxContent>
              </v:textbox>
            </v:shape>
            <v:shape id="_x0000_s1044" type="#_x0000_t202" style="position:absolute;left:4478;top:3038;width:1800;height:360" fillcolor="#9cf">
              <v:fill opacity=".5"/>
              <v:textbox style="mso-next-textbox:#_x0000_s1044" inset=",0,,0">
                <w:txbxContent>
                  <w:p w:rsidR="00000000" w:rsidRDefault="00795E81">
                    <w:r>
                      <w:t>Önkormányzat</w:t>
                    </w:r>
                  </w:p>
                </w:txbxContent>
              </v:textbox>
            </v:shape>
            <v:line id="_x0000_s1045" style="position:absolute" from="4118,2318" to="4118,3758">
              <v:stroke startarrow="block"/>
            </v:line>
            <v:line id="_x0000_s1046" style="position:absolute" from="4118,2678" to="4478,2678"/>
            <v:line id="_x0000_s1047" style="position:absolute" from="4118,3218" to="4478,3218"/>
            <v:line id="_x0000_s1048" style="position:absolute" from="4118,3758" to="4478,3758"/>
          </v:group>
        </w:pict>
      </w:r>
      <w:r>
        <w:rPr>
          <w:noProof/>
          <w:sz w:val="20"/>
        </w:rPr>
        <w:pict>
          <v:group id="_x0000_s1078" style="position:absolute;margin-left:477.15pt;margin-top:7.95pt;width:225pt;height:90pt;z-index:251650048" coordorigin="10958,2678" coordsize="4500,1800">
            <v:shape id="_x0000_s1079" type="#_x0000_t202" style="position:absolute;left:10958;top:2678;width:4500;height:1800;mso-wrap-edited:f" wrapcoords="-67 0 -67 21600 21667 21600 21667 0 -67 0" fillcolor="#9cf">
              <v:fill opacity=".5"/>
              <v:textbox style="mso-next-textbox:#_x0000_s1079" inset=",0,,0">
                <w:txbxContent>
                  <w:p w:rsidR="00000000" w:rsidRDefault="00795E81">
                    <w:pPr>
                      <w:pStyle w:val="Cmsor2"/>
                    </w:pPr>
                    <w:r>
                      <w:t>Outputok</w:t>
                    </w:r>
                  </w:p>
                </w:txbxContent>
              </v:textbox>
            </v:shape>
            <v:line id="_x0000_s1080" style="position:absolute" from="11678,3398" to="11678,3758">
              <v:stroke endarrow="block"/>
            </v:line>
            <v:line id="_x0000_s1081" style="position:absolute" from="12758,3218" to="13478,3218">
              <v:stroke endarrow="block"/>
            </v:line>
            <v:shape id="_x0000_s1082" type="#_x0000_t202" style="position:absolute;left:11138;top:3038;width:1620;height:360" fillcolor="#9cf">
              <v:fill opacity=".5"/>
              <v:textbox style="mso-next-textbox:#_x0000_s1082" inset=",0,,0">
                <w:txbxContent>
                  <w:p w:rsidR="00000000" w:rsidRDefault="00795E81">
                    <w:pPr>
                      <w:pStyle w:val="Cmsor4"/>
                    </w:pPr>
                    <w:r>
                      <w:t>Tüzelőanyag</w:t>
                    </w:r>
                  </w:p>
                </w:txbxContent>
              </v:textbox>
            </v:shape>
            <v:shape id="_x0000_s1083" type="#_x0000_t202" style="position:absolute;left:13478;top:3038;width:1620;height:540" fillcolor="#9cf">
              <v:fill opacity=".5"/>
              <v:textbox inset=",0,,0">
                <w:txbxContent>
                  <w:p w:rsidR="00000000" w:rsidRDefault="00795E81">
                    <w:pPr>
                      <w:pStyle w:val="Szvegtrzs"/>
                    </w:pPr>
                    <w:r>
                      <w:t>Többlet, é</w:t>
                    </w:r>
                    <w:r>
                      <w:t>r</w:t>
                    </w:r>
                    <w:r>
                      <w:t>tékesítésre</w:t>
                    </w:r>
                  </w:p>
                </w:txbxContent>
              </v:textbox>
            </v:shape>
            <v:shape id="_x0000_s1084" type="#_x0000_t202" style="position:absolute;left:11138;top:3758;width:1620;height:540" fillcolor="#9cf">
              <v:fill opacity=".5"/>
              <v:textbox inset=",0,,0">
                <w:txbxContent>
                  <w:p w:rsidR="00000000" w:rsidRDefault="00795E81">
                    <w:pPr>
                      <w:pStyle w:val="Szvegtrzs"/>
                    </w:pPr>
                    <w:r>
                      <w:rPr>
                        <w:b/>
                        <w:bCs/>
                        <w:sz w:val="20"/>
                      </w:rPr>
                      <w:t>Hőszolgált</w:t>
                    </w:r>
                    <w:r>
                      <w:rPr>
                        <w:b/>
                        <w:bCs/>
                        <w:sz w:val="20"/>
                      </w:rPr>
                      <w:t>a</w:t>
                    </w:r>
                    <w:r>
                      <w:rPr>
                        <w:b/>
                        <w:bCs/>
                        <w:sz w:val="20"/>
                      </w:rPr>
                      <w:t>tás szüksé</w:t>
                    </w:r>
                    <w:r>
                      <w:rPr>
                        <w:b/>
                        <w:bCs/>
                        <w:sz w:val="20"/>
                      </w:rPr>
                      <w:t>g</w:t>
                    </w:r>
                    <w:r>
                      <w:rPr>
                        <w:b/>
                        <w:bCs/>
                        <w:sz w:val="20"/>
                      </w:rPr>
                      <w:t>lete</w:t>
                    </w:r>
                    <w:r>
                      <w:t>.</w:t>
                    </w:r>
                  </w:p>
                </w:txbxContent>
              </v:textbox>
            </v:shape>
          </v:group>
        </w:pict>
      </w:r>
    </w:p>
    <w:p w:rsidR="00000000" w:rsidRDefault="00795E81">
      <w:r>
        <w:rPr>
          <w:noProof/>
          <w:sz w:val="20"/>
        </w:rPr>
        <w:pict>
          <v:line id="_x0000_s1087" style="position:absolute;flip:y;z-index:251653120" from="2in,3pt" to="2in,102pt" strokeweight="3pt">
            <v:stroke endarrow="block" linestyle="thinThin"/>
          </v:line>
        </w:pict>
      </w:r>
    </w:p>
    <w:p w:rsidR="00000000" w:rsidRDefault="00795E81">
      <w:r>
        <w:rPr>
          <w:noProof/>
          <w:sz w:val="20"/>
        </w:rPr>
        <w:pict>
          <v:line id="_x0000_s1059" style="position:absolute;z-index:251636736" from="441pt,7.2pt" to="486pt,7.2pt">
            <v:stroke endarrow="block"/>
          </v:line>
        </w:pict>
      </w:r>
      <w:r>
        <w:rPr>
          <w:noProof/>
          <w:sz w:val="20"/>
        </w:rPr>
        <w:pict>
          <v:line id="_x0000_s1066" style="position:absolute;flip:x;z-index:251643904" from="243pt,7.2pt" to="270pt,7.2pt">
            <v:stroke endarrow="block"/>
          </v:line>
        </w:pict>
      </w:r>
      <w:r>
        <w:rPr>
          <w:noProof/>
          <w:sz w:val="20"/>
        </w:rPr>
        <w:pict>
          <v:line id="_x0000_s1065" style="position:absolute;flip:y;z-index:251642880" from="270pt,7.2pt" to="270pt,169.2pt"/>
        </w:pict>
      </w:r>
    </w:p>
    <w:p w:rsidR="00000000" w:rsidRDefault="00795E81">
      <w:r>
        <w:rPr>
          <w:noProof/>
          <w:sz w:val="20"/>
        </w:rPr>
        <w:pict>
          <v:line id="_x0000_s1111" style="position:absolute;z-index:251673600" from="117pt,.6pt" to="153pt,.6pt" strokecolor="#36f" strokeweight="2.25pt">
            <v:stroke endarrow="block"/>
          </v:line>
        </w:pict>
      </w:r>
      <w:r>
        <w:rPr>
          <w:noProof/>
          <w:sz w:val="20"/>
        </w:rPr>
        <w:pict>
          <v:line id="_x0000_s1110" style="position:absolute;flip:y;z-index:251672576" from="117pt,.6pt" to="117pt,135.6pt" strokecolor="blue" strokeweight="2.25pt"/>
        </w:pict>
      </w:r>
      <w:r>
        <w:rPr>
          <w:noProof/>
          <w:sz w:val="20"/>
        </w:rPr>
        <w:pict>
          <v:line id="_x0000_s1106" style="position:absolute;flip:y;z-index:251668480" from="656.85pt,9.6pt" to="656.85pt,126.6pt" strokecolor="blue" strokeweight="2.25pt">
            <v:stroke startarrow="block" endarrow="block"/>
          </v:line>
        </w:pict>
      </w:r>
    </w:p>
    <w:p w:rsidR="00000000" w:rsidRDefault="00795E81">
      <w:r>
        <w:rPr>
          <w:noProof/>
          <w:sz w:val="20"/>
        </w:rPr>
        <w:pict>
          <v:line id="_x0000_s1112" style="position:absolute;z-index:251674624" from="117pt,4.8pt" to="153pt,4.8pt" strokecolor="blue" strokeweight="2.25pt">
            <v:stroke endarrow="block"/>
          </v:line>
        </w:pict>
      </w:r>
      <w:r>
        <w:rPr>
          <w:noProof/>
          <w:sz w:val="20"/>
        </w:rPr>
        <w:pict>
          <v:line id="_x0000_s1067" style="position:absolute;flip:x;z-index:251644928" from="243pt,6.6pt" to="270pt,6.6pt">
            <v:stroke endarrow="block"/>
          </v:line>
        </w:pict>
      </w:r>
    </w:p>
    <w:p w:rsidR="00000000" w:rsidRDefault="00795E81">
      <w:r>
        <w:rPr>
          <w:noProof/>
          <w:sz w:val="20"/>
        </w:rPr>
        <w:pict>
          <v:line id="_x0000_s1060" style="position:absolute;flip:x;z-index:251637760" from="441pt,1.8pt" to="486pt,1.8pt">
            <v:stroke endarrow="block"/>
          </v:line>
        </w:pict>
      </w:r>
    </w:p>
    <w:p w:rsidR="00000000" w:rsidRDefault="00795E81">
      <w:r>
        <w:rPr>
          <w:noProof/>
          <w:sz w:val="20"/>
        </w:rPr>
        <w:pict>
          <v:line id="_x0000_s1107" style="position:absolute;z-index:251669504" from="252pt,4.2pt" to="261pt,4.2pt" strokecolor="fuchsia" strokeweight="6pt">
            <v:stroke linestyle="thickBetweenThin"/>
          </v:line>
        </w:pict>
      </w:r>
      <w:r>
        <w:rPr>
          <w:noProof/>
          <w:sz w:val="20"/>
        </w:rPr>
        <w:pict>
          <v:line id="_x0000_s1101" style="position:absolute;flip:y;z-index:251663360" from="261pt,4.2pt" to="261pt,130.2pt" strokecolor="fuchsia" strokeweight="6pt">
            <v:stroke startarrow="block" linestyle="thickBetweenThin"/>
          </v:line>
        </w:pict>
      </w:r>
      <w:r>
        <w:rPr>
          <w:noProof/>
          <w:sz w:val="20"/>
        </w:rPr>
        <w:pict>
          <v:line id="_x0000_s1096" style="position:absolute;z-index:251658240" from="279pt,0" to="333pt,0" strokeweight="2.25pt">
            <v:stroke dashstyle="1 1" endarrow="block"/>
          </v:line>
        </w:pict>
      </w:r>
      <w:r>
        <w:rPr>
          <w:noProof/>
          <w:sz w:val="20"/>
        </w:rPr>
        <w:pict>
          <v:line id="_x0000_s1063" style="position:absolute;z-index:251640832" from="468pt,6pt" to="468pt,114pt"/>
        </w:pict>
      </w:r>
      <w:r>
        <w:rPr>
          <w:noProof/>
          <w:sz w:val="20"/>
        </w:rPr>
        <w:pict>
          <v:line id="_x0000_s1061" style="position:absolute;z-index:251638784" from="441pt,6pt" to="468pt,6pt"/>
        </w:pict>
      </w:r>
    </w:p>
    <w:p w:rsidR="00000000" w:rsidRDefault="00795E81"/>
    <w:p w:rsidR="00000000" w:rsidRDefault="00795E81">
      <w:r>
        <w:rPr>
          <w:noProof/>
          <w:sz w:val="20"/>
        </w:rPr>
        <w:pict>
          <v:line id="_x0000_s1062" style="position:absolute;z-index:251639808" from="6in,5.4pt" to="468pt,5.4pt"/>
        </w:pict>
      </w:r>
      <w:r>
        <w:rPr>
          <w:noProof/>
          <w:sz w:val="20"/>
        </w:rPr>
        <w:pict>
          <v:shape id="_x0000_s1039" type="#_x0000_t202" style="position:absolute;margin-left:125.85pt;margin-top:6pt;width:126pt;height:54pt;z-index:251633664" fillcolor="#f60">
            <v:fill opacity=".5"/>
            <v:textbox inset=",0,,0">
              <w:txbxContent>
                <w:p w:rsidR="00000000" w:rsidRDefault="00795E8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Belsőleg szabályozott érdekeltségi visz</w:t>
                  </w:r>
                  <w:r>
                    <w:rPr>
                      <w:b/>
                      <w:bCs/>
                    </w:rPr>
                    <w:t>o</w:t>
                  </w:r>
                  <w:r>
                    <w:rPr>
                      <w:b/>
                      <w:bCs/>
                    </w:rPr>
                    <w:t>nyok (Szindikátusi szerz.)</w:t>
                  </w:r>
                </w:p>
              </w:txbxContent>
            </v:textbox>
          </v:shape>
        </w:pict>
      </w:r>
    </w:p>
    <w:p w:rsidR="00000000" w:rsidRDefault="00795E81"/>
    <w:p w:rsidR="00000000" w:rsidRDefault="00795E81"/>
    <w:p w:rsidR="00000000" w:rsidRDefault="00795E81"/>
    <w:p w:rsidR="00000000" w:rsidRDefault="00795E81">
      <w:r>
        <w:rPr>
          <w:noProof/>
          <w:sz w:val="20"/>
        </w:rPr>
        <w:pict>
          <v:shape id="_x0000_s1108" type="#_x0000_t202" style="position:absolute;margin-left:171pt;margin-top:11.45pt;width:1in;height:63pt;z-index:251670528" fillcolor="#fc0">
            <v:fill opacity=".5"/>
            <v:textbox inset=",0,,0">
              <w:txbxContent>
                <w:p w:rsidR="00000000" w:rsidRDefault="00795E81">
                  <w:pPr>
                    <w:pStyle w:val="Szvegtrzs2"/>
                  </w:pPr>
                  <w:r>
                    <w:t>Hő fe</w:t>
                  </w:r>
                  <w:r>
                    <w:t>l</w:t>
                  </w:r>
                  <w:r>
                    <w:t>használási szerződés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109" style="position:absolute;flip:x;z-index:251671552" from="117pt,11.45pt" to="171pt,11.45pt" strokecolor="blue" strokeweight="2.25pt">
            <v:stroke startarrow="block"/>
          </v:line>
        </w:pict>
      </w:r>
      <w:r>
        <w:rPr>
          <w:noProof/>
          <w:sz w:val="20"/>
        </w:rPr>
        <w:pict>
          <v:shape id="_x0000_s1069" type="#_x0000_t202" style="position:absolute;margin-left:513.15pt;margin-top:2.45pt;width:171pt;height:18pt;z-index:251646976" fillcolor="aqua">
            <v:fill opacity=".5"/>
            <v:textbox inset=",0,,0">
              <w:txbxContent>
                <w:p w:rsidR="00000000" w:rsidRDefault="00795E81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Értékesítési szerződések</w:t>
                  </w:r>
                </w:p>
              </w:txbxContent>
            </v:textbox>
          </v:shape>
        </w:pict>
      </w:r>
    </w:p>
    <w:p w:rsidR="00000000" w:rsidRDefault="00795E81">
      <w:r>
        <w:rPr>
          <w:noProof/>
          <w:sz w:val="20"/>
        </w:rPr>
        <w:pict>
          <v:line id="_x0000_s1105" style="position:absolute;flip:y;z-index:251667456" from="405pt,6.5pt" to="531pt,69.5pt" strokecolor="blue" strokeweight="2.25pt">
            <v:stroke startarrow="block" endarrow="block"/>
          </v:line>
        </w:pict>
      </w:r>
      <w:r>
        <w:rPr>
          <w:noProof/>
          <w:sz w:val="20"/>
        </w:rPr>
        <w:pict>
          <v:shape id="_x0000_s1085" type="#_x0000_t202" style="position:absolute;margin-left:-9pt;margin-top:6.65pt;width:162pt;height:18pt;z-index:251651072" fillcolor="yellow">
            <v:fill opacity=".5"/>
            <v:textbox inset=",0,,0">
              <w:txbxContent>
                <w:p w:rsidR="00000000" w:rsidRDefault="00795E81">
                  <w:pPr>
                    <w:pStyle w:val="Cmsor3"/>
                  </w:pPr>
                  <w:r>
                    <w:t>Beszállítói szerződések</w:t>
                  </w:r>
                </w:p>
              </w:txbxContent>
            </v:textbox>
          </v:shape>
        </w:pict>
      </w:r>
    </w:p>
    <w:p w:rsidR="00000000" w:rsidRDefault="00795E81">
      <w:r>
        <w:rPr>
          <w:noProof/>
          <w:sz w:val="20"/>
        </w:rPr>
        <w:pict>
          <v:line id="_x0000_s1103" style="position:absolute;flip:x y;z-index:251665408" from="135pt,10.85pt" to="162pt,64.85pt" strokecolor="#f90" strokeweight="2.25pt">
            <v:stroke endarrow="block"/>
          </v:line>
        </w:pict>
      </w:r>
      <w:r>
        <w:rPr>
          <w:noProof/>
          <w:sz w:val="20"/>
        </w:rPr>
        <w:pict>
          <v:line id="_x0000_s1064" style="position:absolute;flip:x;z-index:251641856" from="270pt,3.6pt" to="468pt,3.6pt"/>
        </w:pict>
      </w:r>
    </w:p>
    <w:p w:rsidR="00000000" w:rsidRDefault="00795E81">
      <w:r>
        <w:rPr>
          <w:noProof/>
          <w:sz w:val="20"/>
        </w:rPr>
        <w:pict>
          <v:group id="_x0000_s1071" style="position:absolute;margin-left:261pt;margin-top:6.05pt;width:162pt;height:81pt;z-index:251649024" coordorigin="7178,6830" coordsize="3240,1620">
            <v:shape id="_x0000_s1072" type="#_x0000_t202" style="position:absolute;left:7178;top:6830;width:3240;height:1620" fillcolor="#fc0">
              <v:fill opacity=".5"/>
              <v:textbox inset=",0,,0">
                <w:txbxContent>
                  <w:p w:rsidR="00000000" w:rsidRDefault="00795E81">
                    <w:pPr>
                      <w:pStyle w:val="Cmsor1"/>
                    </w:pPr>
                    <w:r>
                      <w:t>Működtető szervezet</w:t>
                    </w:r>
                  </w:p>
                </w:txbxContent>
              </v:textbox>
            </v:shape>
            <v:shape id="_x0000_s1073" type="#_x0000_t202" style="position:absolute;left:8078;top:7370;width:1980;height:360" fillcolor="#fc0">
              <v:fill opacity=".5"/>
              <v:textbox inset=",0,,0">
                <w:txbxContent>
                  <w:p w:rsidR="00000000" w:rsidRDefault="00795E81">
                    <w:r>
                      <w:t>Menedzsment</w:t>
                    </w:r>
                  </w:p>
                </w:txbxContent>
              </v:textbox>
            </v:shape>
            <v:shape id="_x0000_s1074" type="#_x0000_t202" style="position:absolute;left:8078;top:7909;width:1980;height:360" fillcolor="#fc0">
              <v:fill opacity=".5"/>
              <v:textbox inset=",0,,0">
                <w:txbxContent>
                  <w:p w:rsidR="00000000" w:rsidRDefault="00795E81">
                    <w:r>
                      <w:t>Dolgozók</w:t>
                    </w:r>
                  </w:p>
                </w:txbxContent>
              </v:textbox>
            </v:shape>
            <v:line id="_x0000_s1075" style="position:absolute" from="7538,7178" to="7538,8078">
              <v:stroke startarrow="block"/>
            </v:line>
            <v:line id="_x0000_s1076" style="position:absolute;flip:x" from="7538,8078" to="8078,8078"/>
            <v:line id="_x0000_s1077" style="position:absolute;flip:x" from="7538,7538" to="8078,7538"/>
          </v:group>
        </w:pict>
      </w:r>
    </w:p>
    <w:p w:rsidR="00000000" w:rsidRDefault="00795E81">
      <w:r>
        <w:rPr>
          <w:noProof/>
          <w:sz w:val="20"/>
        </w:rPr>
        <w:pict>
          <v:line id="_x0000_s1113" style="position:absolute;z-index:251675648" from="243pt,1.25pt" to="261pt,1.25pt" strokecolor="blue" strokeweight="2.25pt">
            <v:stroke startarrow="block" endarrow="block"/>
          </v:line>
        </w:pict>
      </w:r>
    </w:p>
    <w:p w:rsidR="00000000" w:rsidRDefault="00795E81"/>
    <w:p w:rsidR="00000000" w:rsidRDefault="00795E81">
      <w:r>
        <w:rPr>
          <w:noProof/>
          <w:sz w:val="20"/>
        </w:rPr>
        <w:pict>
          <v:line id="_x0000_s1102" style="position:absolute;flip:x;z-index:251664384" from="162pt,9.65pt" to="261pt,9.65pt" strokecolor="#f90" strokeweight="2.25pt">
            <v:stroke startarrow="block"/>
          </v:line>
        </w:pict>
      </w:r>
    </w:p>
    <w:p w:rsidR="00000000" w:rsidRDefault="00795E81"/>
    <w:p w:rsidR="00000000" w:rsidRDefault="00795E81">
      <w:pPr>
        <w:ind w:left="360"/>
        <w:jc w:val="both"/>
        <w:rPr>
          <w:sz w:val="28"/>
        </w:rPr>
        <w:sectPr w:rsidR="00000000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:rsidR="00000000" w:rsidRDefault="00795E81">
      <w:pPr>
        <w:pStyle w:val="Cmsor6"/>
        <w:rPr>
          <w:sz w:val="32"/>
        </w:rPr>
      </w:pPr>
      <w:r>
        <w:rPr>
          <w:sz w:val="32"/>
        </w:rPr>
        <w:t>I.- es  re</w:t>
      </w:r>
      <w:r>
        <w:rPr>
          <w:sz w:val="32"/>
        </w:rPr>
        <w:t>ndszer részletes leírása</w:t>
      </w:r>
    </w:p>
    <w:p w:rsidR="00000000" w:rsidRDefault="00795E81"/>
    <w:p w:rsidR="00000000" w:rsidRDefault="00795E81">
      <w:pPr>
        <w:pStyle w:val="Cmsor9"/>
        <w:ind w:left="360"/>
        <w:jc w:val="both"/>
      </w:pPr>
      <w:r>
        <w:t>I./1 Pénzügyi és anyagi kapcsolatok szabályozása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ind w:left="360"/>
        <w:jc w:val="both"/>
        <w:rPr>
          <w:sz w:val="28"/>
        </w:rPr>
      </w:pPr>
      <w:r>
        <w:rPr>
          <w:sz w:val="28"/>
          <w:u w:val="single"/>
        </w:rPr>
        <w:t>I/1.1 Külső kapcsolatok</w:t>
      </w:r>
      <w:r>
        <w:rPr>
          <w:sz w:val="28"/>
        </w:rPr>
        <w:t xml:space="preserve"> Az itt leírt rendszernek két alapvető külső kapcsolata van: az alapanyag beszállítás, és a pellet felesleg értékesítése. Az alapvető kapcsolatokon túl azonb</w:t>
      </w:r>
      <w:r>
        <w:rPr>
          <w:sz w:val="28"/>
        </w:rPr>
        <w:t>an szükséges még néhány, nem alapvető, de az üz</w:t>
      </w:r>
      <w:r>
        <w:rPr>
          <w:sz w:val="28"/>
        </w:rPr>
        <w:t>e</w:t>
      </w:r>
      <w:r>
        <w:rPr>
          <w:sz w:val="28"/>
        </w:rPr>
        <w:t>meltetés szempontjából lényeges kapcsolatot is rendezni kell.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pStyle w:val="Szvegtrzsbehzssal"/>
      </w:pPr>
      <w:r>
        <w:t>I/1.1.1 Alapanyag beszállítás: A beszállítókkal a projekt cég, az alapanyag mennyiségét és specifikációit (forma, nedvességtartalom, állag, stb.)</w:t>
      </w:r>
      <w:r>
        <w:t xml:space="preserve"> az induló árat és az ár számítási módját, valamint a beszállítás ütemezését tartalmazó szállítási szerződést köt. A szerződésben szabályozzák             –  lehetőség sz</w:t>
      </w:r>
      <w:r>
        <w:t>e</w:t>
      </w:r>
      <w:r>
        <w:t>rint – a kölcsönös kár elhárítási kötelezettségeket is (vis major esetek). (A j</w:t>
      </w:r>
      <w:r>
        <w:t>a</w:t>
      </w:r>
      <w:r>
        <w:t>vasol</w:t>
      </w:r>
      <w:r>
        <w:t>t szerződés minta csatolva.)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pStyle w:val="Szvegtrzsbehzssal"/>
      </w:pPr>
      <w:r>
        <w:t>I./1.1.2. Pellet felesleg, értékesítés: Mivel várhatóan minden projekt a hő szükséglet biztosításához szükséges mennyiségnél többet termel. A töb</w:t>
      </w:r>
      <w:r>
        <w:t>b</w:t>
      </w:r>
      <w:r>
        <w:t>let értékesítése feltétele a cég gazdaságos működésének.</w:t>
      </w:r>
      <w:r>
        <w:rPr>
          <w:rStyle w:val="Lbjegyzet-hivatkozs"/>
        </w:rPr>
        <w:footnoteReference w:id="11"/>
      </w:r>
      <w:r>
        <w:t xml:space="preserve"> A várható pellet menny</w:t>
      </w:r>
      <w:r>
        <w:t>iség átvételére – a minőség és ár (árképzés) specifikálásával - átv</w:t>
      </w:r>
      <w:r>
        <w:t>é</w:t>
      </w:r>
      <w:r>
        <w:t>teli sze</w:t>
      </w:r>
      <w:r>
        <w:t>r</w:t>
      </w:r>
      <w:r>
        <w:t>ződést köt. (Minta mellékelve.)</w:t>
      </w:r>
    </w:p>
    <w:p w:rsidR="00000000" w:rsidRDefault="00795E81">
      <w:pPr>
        <w:pStyle w:val="Szvegtrzsbehzssal"/>
      </w:pPr>
    </w:p>
    <w:p w:rsidR="00000000" w:rsidRDefault="00795E81">
      <w:pPr>
        <w:pStyle w:val="Szvegtrzsbehzssal"/>
        <w:ind w:left="1416"/>
      </w:pPr>
      <w:r>
        <w:t>I./1.1.2.1. Pellet visszavásárlás. Mivel a felvásárlónál – várhatóan több pr</w:t>
      </w:r>
      <w:r>
        <w:t>o</w:t>
      </w:r>
      <w:r>
        <w:t>jekt cégtől felvásárolva - jelentős mennyiségű, értékesítésre váró pe</w:t>
      </w:r>
      <w:r>
        <w:t>llet lesz. Célszerű a felvásárlóval arra az esetre is szerződést kötni, ha –vis major esetén - a hőszolgáltatáshoz szükséges pellet mennyiség sem biztosítható. E szerződéssel kizárható az a lehet</w:t>
      </w:r>
      <w:r>
        <w:t>ő</w:t>
      </w:r>
      <w:r>
        <w:t xml:space="preserve">ség, hogy a hő nem biztosítható. </w:t>
      </w:r>
    </w:p>
    <w:p w:rsidR="00000000" w:rsidRDefault="00795E81">
      <w:pPr>
        <w:ind w:left="360"/>
        <w:jc w:val="both"/>
        <w:rPr>
          <w:sz w:val="28"/>
        </w:rPr>
      </w:pPr>
    </w:p>
    <w:p w:rsidR="00000000" w:rsidRDefault="00795E81">
      <w:pPr>
        <w:pStyle w:val="Cmsor7"/>
      </w:pPr>
      <w:r>
        <w:t>I./1.1.3. Hulladék elhely</w:t>
      </w:r>
      <w:r>
        <w:t>ezés: Hulladéknak minősül a pellet gyártásnál az alapanyag közelítően 10%-a. Ennek elhelyezéséről gondoskodni kell. J</w:t>
      </w:r>
      <w:r>
        <w:t>e</w:t>
      </w:r>
      <w:r>
        <w:t>lentősebb tétel a hamu elhelyezése. A hamu talajerő visszapótlásra is a</w:t>
      </w:r>
      <w:r>
        <w:t>l</w:t>
      </w:r>
      <w:r>
        <w:t>kalmas. Elhelyezésére szerződést kell kötni. (A szerződés minta me</w:t>
      </w:r>
      <w:r>
        <w:t>lléke</w:t>
      </w:r>
      <w:r>
        <w:t>l</w:t>
      </w:r>
      <w:r>
        <w:t>ve.)</w:t>
      </w:r>
    </w:p>
    <w:p w:rsidR="00000000" w:rsidRDefault="00795E81"/>
    <w:p w:rsidR="00000000" w:rsidRDefault="00795E81">
      <w:pPr>
        <w:ind w:left="708"/>
        <w:rPr>
          <w:sz w:val="28"/>
        </w:rPr>
      </w:pPr>
      <w:r>
        <w:rPr>
          <w:sz w:val="28"/>
        </w:rPr>
        <w:t>I./1.1.4 A projekt cég által használt gépek és berendezések mindegyike honosított, gépkönyvekkel és garanciákkal rendelkezik, szervize biztos</w:t>
      </w:r>
      <w:r>
        <w:rPr>
          <w:sz w:val="28"/>
        </w:rPr>
        <w:t>í</w:t>
      </w:r>
      <w:r>
        <w:rPr>
          <w:sz w:val="28"/>
        </w:rPr>
        <w:t>tott. Ezeket a feltételeket minden esetben a szállítási szerződésben rögz</w:t>
      </w:r>
      <w:r>
        <w:rPr>
          <w:sz w:val="28"/>
        </w:rPr>
        <w:t>í</w:t>
      </w:r>
      <w:r>
        <w:rPr>
          <w:sz w:val="28"/>
        </w:rPr>
        <w:t>tik.</w:t>
      </w:r>
    </w:p>
    <w:p w:rsidR="00000000" w:rsidRDefault="00795E81">
      <w:pPr>
        <w:ind w:left="708"/>
        <w:rPr>
          <w:sz w:val="28"/>
        </w:rPr>
      </w:pPr>
    </w:p>
    <w:p w:rsidR="00000000" w:rsidRDefault="00795E81">
      <w:pPr>
        <w:ind w:left="708"/>
        <w:rPr>
          <w:sz w:val="28"/>
        </w:rPr>
      </w:pPr>
      <w:r>
        <w:rPr>
          <w:sz w:val="28"/>
        </w:rPr>
        <w:t>I./1.1.5 A közmű szolg</w:t>
      </w:r>
      <w:r>
        <w:rPr>
          <w:sz w:val="28"/>
        </w:rPr>
        <w:t>áltatókkal (villany, víz, szennyvíz, kommunális hulladék) meg kell kötni - a helyileg szokásos - szerződéseket.</w:t>
      </w:r>
    </w:p>
    <w:p w:rsidR="00000000" w:rsidRDefault="00795E81"/>
    <w:p w:rsidR="00000000" w:rsidRDefault="00795E81">
      <w:pPr>
        <w:pStyle w:val="Cmsor8"/>
        <w:rPr>
          <w:u w:val="none"/>
        </w:rPr>
      </w:pPr>
      <w:r>
        <w:t>I./1.2 Belső kapcsolatok.</w:t>
      </w:r>
      <w:r>
        <w:rPr>
          <w:u w:val="none"/>
        </w:rPr>
        <w:t xml:space="preserve"> A belső kapcsolatok alapvetően kétirányúak: A tula</w:t>
      </w:r>
      <w:r>
        <w:rPr>
          <w:u w:val="none"/>
        </w:rPr>
        <w:t>j</w:t>
      </w:r>
      <w:r>
        <w:rPr>
          <w:u w:val="none"/>
        </w:rPr>
        <w:t>donosok közötti kapcsolatok, illetve a rendszeren belüli, az anyag</w:t>
      </w:r>
      <w:r>
        <w:rPr>
          <w:u w:val="none"/>
        </w:rPr>
        <w:t>i folyamatból következő kapcs</w:t>
      </w:r>
      <w:r>
        <w:rPr>
          <w:u w:val="none"/>
        </w:rPr>
        <w:t>o</w:t>
      </w:r>
      <w:r>
        <w:rPr>
          <w:u w:val="none"/>
        </w:rPr>
        <w:t>latok.</w:t>
      </w:r>
    </w:p>
    <w:p w:rsidR="00000000" w:rsidRDefault="00795E81">
      <w:pPr>
        <w:rPr>
          <w:sz w:val="28"/>
        </w:rPr>
      </w:pPr>
    </w:p>
    <w:p w:rsidR="00000000" w:rsidRDefault="00795E81">
      <w:pPr>
        <w:rPr>
          <w:sz w:val="28"/>
        </w:rPr>
      </w:pPr>
      <w:r>
        <w:rPr>
          <w:sz w:val="28"/>
        </w:rPr>
        <w:t xml:space="preserve">I./1.2.1. Tulajdonosok közötti kapcsolatok szabályozottsága. Ennek alapvetően két dokumentuma van. </w:t>
      </w:r>
    </w:p>
    <w:p w:rsidR="00000000" w:rsidRDefault="00795E81">
      <w:pPr>
        <w:ind w:left="708"/>
        <w:rPr>
          <w:sz w:val="28"/>
        </w:rPr>
      </w:pPr>
      <w:r>
        <w:rPr>
          <w:sz w:val="28"/>
        </w:rPr>
        <w:t>I./1.2.1.1 Az első – nyilvános – az alapító okirat, amely (a kötelező előír</w:t>
      </w:r>
      <w:r>
        <w:rPr>
          <w:sz w:val="28"/>
        </w:rPr>
        <w:t>á</w:t>
      </w:r>
      <w:r>
        <w:rPr>
          <w:sz w:val="28"/>
        </w:rPr>
        <w:t>soknak megfelelően) tartalmazza a tulajdon</w:t>
      </w:r>
      <w:r>
        <w:rPr>
          <w:sz w:val="28"/>
        </w:rPr>
        <w:t>osok jogait, kötelezettségeit, anyagi felelő</w:t>
      </w:r>
      <w:r>
        <w:rPr>
          <w:sz w:val="28"/>
        </w:rPr>
        <w:t>s</w:t>
      </w:r>
      <w:r>
        <w:rPr>
          <w:sz w:val="28"/>
        </w:rPr>
        <w:t>ségük mértékét. stb. (Minta mellékelve.)</w:t>
      </w:r>
    </w:p>
    <w:p w:rsidR="00000000" w:rsidRDefault="00795E81">
      <w:pPr>
        <w:ind w:left="708"/>
        <w:rPr>
          <w:sz w:val="28"/>
        </w:rPr>
      </w:pPr>
    </w:p>
    <w:p w:rsidR="00000000" w:rsidRDefault="00795E81">
      <w:pPr>
        <w:ind w:left="708"/>
        <w:rPr>
          <w:sz w:val="28"/>
        </w:rPr>
      </w:pPr>
      <w:r>
        <w:rPr>
          <w:sz w:val="28"/>
        </w:rPr>
        <w:t>I./1.2.1.2. Szindikátusi szerződés (vagylagos) a tulajdonosok közötti sp</w:t>
      </w:r>
      <w:r>
        <w:rPr>
          <w:sz w:val="28"/>
        </w:rPr>
        <w:t>e</w:t>
      </w:r>
      <w:r>
        <w:rPr>
          <w:sz w:val="28"/>
        </w:rPr>
        <w:t>ciális megállapodásokat tartalmazza (kisebbségi jogok, jövedelem elos</w:t>
      </w:r>
      <w:r>
        <w:rPr>
          <w:sz w:val="28"/>
        </w:rPr>
        <w:t>z</w:t>
      </w:r>
      <w:r>
        <w:rPr>
          <w:sz w:val="28"/>
        </w:rPr>
        <w:t xml:space="preserve">tásra vonatkozó speciális </w:t>
      </w:r>
      <w:r>
        <w:rPr>
          <w:sz w:val="28"/>
        </w:rPr>
        <w:t>megállapodások, stb.). (Egy lehetséges szindik</w:t>
      </w:r>
      <w:r>
        <w:rPr>
          <w:sz w:val="28"/>
        </w:rPr>
        <w:t>á</w:t>
      </w:r>
      <w:r>
        <w:rPr>
          <w:sz w:val="28"/>
        </w:rPr>
        <w:t>tusi szerződésmintát mellékeltünk.)</w:t>
      </w:r>
    </w:p>
    <w:p w:rsidR="00000000" w:rsidRDefault="00795E81">
      <w:pPr>
        <w:ind w:left="708"/>
        <w:rPr>
          <w:sz w:val="28"/>
        </w:rPr>
      </w:pPr>
    </w:p>
    <w:p w:rsidR="00000000" w:rsidRDefault="00795E81">
      <w:pPr>
        <w:rPr>
          <w:sz w:val="28"/>
        </w:rPr>
      </w:pPr>
      <w:r>
        <w:rPr>
          <w:sz w:val="28"/>
        </w:rPr>
        <w:t>I./1.2.2 Az anyagi folyamatból adódó kapcsolatok. A zavartalan működés bizt</w:t>
      </w:r>
      <w:r>
        <w:rPr>
          <w:sz w:val="28"/>
        </w:rPr>
        <w:t>o</w:t>
      </w:r>
      <w:r>
        <w:rPr>
          <w:sz w:val="28"/>
        </w:rPr>
        <w:t>sítása érdekében specifikálni kell az önkormányzatok (esetleg egyéb hő felhas</w:t>
      </w:r>
      <w:r>
        <w:rPr>
          <w:sz w:val="28"/>
        </w:rPr>
        <w:t>z</w:t>
      </w:r>
      <w:r>
        <w:rPr>
          <w:sz w:val="28"/>
        </w:rPr>
        <w:t>n</w:t>
      </w:r>
      <w:r>
        <w:rPr>
          <w:sz w:val="28"/>
        </w:rPr>
        <w:t>á</w:t>
      </w:r>
      <w:r>
        <w:rPr>
          <w:sz w:val="28"/>
        </w:rPr>
        <w:t>lók) és a projek</w:t>
      </w:r>
      <w:r>
        <w:rPr>
          <w:sz w:val="28"/>
        </w:rPr>
        <w:t>t cég kapcsolatának minden elemét.</w:t>
      </w:r>
    </w:p>
    <w:p w:rsidR="00000000" w:rsidRDefault="00795E81">
      <w:pPr>
        <w:rPr>
          <w:sz w:val="28"/>
        </w:rPr>
      </w:pPr>
    </w:p>
    <w:p w:rsidR="00000000" w:rsidRDefault="00795E81">
      <w:pPr>
        <w:pStyle w:val="Szvegtrzsbehzssal"/>
      </w:pPr>
      <w:r>
        <w:t>I./1.2.2.1. Bérleti szerződések. A projekt cég átveszi az önkormányzattól a hőszolgáltatást, mint feladatot. Ehhez – alapesetben - az önkormányzat t</w:t>
      </w:r>
      <w:r>
        <w:t>u</w:t>
      </w:r>
      <w:r>
        <w:t>lajdonában lévő kazánházat kell használnia. A használat módját, a jogok</w:t>
      </w:r>
      <w:r>
        <w:t>at és kötelezettségeket, az esetleges bérleti díjat, stb. rögzíteni kell. (Szerz</w:t>
      </w:r>
      <w:r>
        <w:t>ő</w:t>
      </w:r>
      <w:r>
        <w:t>dés minta mellékelve.)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  <w:r>
        <w:rPr>
          <w:sz w:val="28"/>
        </w:rPr>
        <w:t>A pellet üzem létrehozásához terület kell. Lehetséges, hogy az ehhez szükséges területet, - illetve esetleg az üzem létrehozásához szükséges épületet -</w:t>
      </w:r>
      <w:r>
        <w:rPr>
          <w:sz w:val="28"/>
        </w:rPr>
        <w:t xml:space="preserve"> bérlet formájában</w:t>
      </w:r>
      <w:r>
        <w:rPr>
          <w:rStyle w:val="Lbjegyzet-hivatkozs"/>
          <w:sz w:val="28"/>
        </w:rPr>
        <w:footnoteReference w:id="12"/>
      </w:r>
      <w:r>
        <w:rPr>
          <w:sz w:val="28"/>
        </w:rPr>
        <w:t>biztosítják. Ebben az esetben erre vonatk</w:t>
      </w:r>
      <w:r>
        <w:rPr>
          <w:sz w:val="28"/>
        </w:rPr>
        <w:t>o</w:t>
      </w:r>
      <w:r>
        <w:rPr>
          <w:sz w:val="28"/>
        </w:rPr>
        <w:t>zóan is szerződést kell kötni. (Minta mellékelve.)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  <w:r>
        <w:rPr>
          <w:sz w:val="28"/>
        </w:rPr>
        <w:t>I./1.2.2.2. Hőfelhasználási szerződés. A szükséges hő biztosításával a gá</w:t>
      </w:r>
      <w:r>
        <w:rPr>
          <w:sz w:val="28"/>
        </w:rPr>
        <w:t>z</w:t>
      </w:r>
      <w:r>
        <w:rPr>
          <w:sz w:val="28"/>
        </w:rPr>
        <w:t xml:space="preserve">fűtés kiváltása alapvető célja a rendszernek. Ezt nagyon pontosan és </w:t>
      </w:r>
      <w:r>
        <w:rPr>
          <w:sz w:val="28"/>
        </w:rPr>
        <w:t>ho</w:t>
      </w:r>
      <w:r>
        <w:rPr>
          <w:sz w:val="28"/>
        </w:rPr>
        <w:t>s</w:t>
      </w:r>
      <w:r>
        <w:rPr>
          <w:sz w:val="28"/>
        </w:rPr>
        <w:t>szú távra kell szabályozni. Így pontosan specifikálni kell – darabonként – a fűtendő objektumot és a várható hőmennyiséget. Itt kell rögzíteni a hő induló árát, - illetve a hő árának számítási módját, - valamint a szerződés módosításának feltételeit. (H</w:t>
      </w:r>
      <w:r>
        <w:rPr>
          <w:sz w:val="28"/>
        </w:rPr>
        <w:t>őfelhasználási szerződés minta melléke</w:t>
      </w:r>
      <w:r>
        <w:rPr>
          <w:sz w:val="28"/>
        </w:rPr>
        <w:t>l</w:t>
      </w:r>
      <w:r>
        <w:rPr>
          <w:sz w:val="28"/>
        </w:rPr>
        <w:t>ve.)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b/>
          <w:bCs/>
          <w:sz w:val="28"/>
          <w:u w:val="double"/>
        </w:rPr>
      </w:pPr>
      <w:r>
        <w:rPr>
          <w:b/>
          <w:bCs/>
          <w:sz w:val="28"/>
          <w:u w:val="double"/>
        </w:rPr>
        <w:t>I./2 A rendszer műszaki tartalma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Ez a modell alapvetően az egyedi fűtési rendszerekre készült, amelyeknél a szükséges (egyenkénti) kapacitás szükséglet 1 MW alatt marad. Általában nincs lehetőség az elhelyezked</w:t>
      </w:r>
      <w:r>
        <w:rPr>
          <w:sz w:val="28"/>
        </w:rPr>
        <w:t>és miatt sem, bála sincs apríték fűtésre, ezért itt az alapvető fűtőanyag a pellet. A rendszer fontos eleme – célja – hogy helyi ala</w:t>
      </w:r>
      <w:r>
        <w:rPr>
          <w:sz w:val="28"/>
        </w:rPr>
        <w:t>p</w:t>
      </w:r>
      <w:r>
        <w:rPr>
          <w:sz w:val="28"/>
        </w:rPr>
        <w:t>any</w:t>
      </w:r>
      <w:r>
        <w:rPr>
          <w:sz w:val="28"/>
        </w:rPr>
        <w:t>a</w:t>
      </w:r>
      <w:r>
        <w:rPr>
          <w:sz w:val="28"/>
        </w:rPr>
        <w:t>gokat használjon fel a földgáz kiváltására, ezért a technológia központi eleme a pelettáló üzem.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  <w:u w:val="single"/>
        </w:rPr>
      </w:pPr>
      <w:r>
        <w:rPr>
          <w:sz w:val="28"/>
          <w:u w:val="single"/>
        </w:rPr>
        <w:t>I./2.1. Pellettálás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pellettálás régóta ismert munkafolyamat. Alkalmazzák takarmányok és tüz</w:t>
      </w:r>
      <w:r>
        <w:rPr>
          <w:sz w:val="28"/>
        </w:rPr>
        <w:t>e</w:t>
      </w:r>
      <w:r>
        <w:rPr>
          <w:sz w:val="28"/>
        </w:rPr>
        <w:t>lőanyagok esetében is. A tűzipellet esetében ma főleg fás szárú alapanyagból k</w:t>
      </w:r>
      <w:r>
        <w:rPr>
          <w:sz w:val="28"/>
        </w:rPr>
        <w:t>é</w:t>
      </w:r>
      <w:r>
        <w:rPr>
          <w:sz w:val="28"/>
        </w:rPr>
        <w:t>szült tüzelőanyagról szoktak beszélni. Ennek energia igénye meglehetősen nagy, ami az árát is determiná</w:t>
      </w:r>
      <w:r>
        <w:rPr>
          <w:sz w:val="28"/>
        </w:rPr>
        <w:t>lja.</w:t>
      </w:r>
      <w:r>
        <w:rPr>
          <w:rStyle w:val="Lbjegyzet-hivatkozs"/>
          <w:sz w:val="28"/>
        </w:rPr>
        <w:footnoteReference w:id="13"/>
      </w:r>
      <w:r>
        <w:rPr>
          <w:sz w:val="28"/>
        </w:rPr>
        <w:t>Rendszerünkben a pellet alapanyaga elsőso</w:t>
      </w:r>
      <w:r>
        <w:rPr>
          <w:sz w:val="28"/>
        </w:rPr>
        <w:t>r</w:t>
      </w:r>
      <w:r>
        <w:rPr>
          <w:sz w:val="28"/>
        </w:rPr>
        <w:t>ban lágyszárú növény, ezen belül is elsősorban melléktermék (szalmák és kuk</w:t>
      </w:r>
      <w:r>
        <w:rPr>
          <w:sz w:val="28"/>
        </w:rPr>
        <w:t>o</w:t>
      </w:r>
      <w:r>
        <w:rPr>
          <w:sz w:val="28"/>
        </w:rPr>
        <w:t>ric</w:t>
      </w:r>
      <w:r>
        <w:rPr>
          <w:sz w:val="28"/>
        </w:rPr>
        <w:t>a</w:t>
      </w:r>
      <w:r>
        <w:rPr>
          <w:sz w:val="28"/>
        </w:rPr>
        <w:t>szár), másodsorban – ahol van ilyen – lágyszárú energianövény (energiafű, energiafűz, nád, stb.). Csak kivételes esetben tervezün</w:t>
      </w:r>
      <w:r>
        <w:rPr>
          <w:sz w:val="28"/>
        </w:rPr>
        <w:t>k fapellettet előállítani, i</w:t>
      </w:r>
      <w:r>
        <w:rPr>
          <w:sz w:val="28"/>
        </w:rPr>
        <w:t>l</w:t>
      </w:r>
      <w:r>
        <w:rPr>
          <w:sz w:val="28"/>
        </w:rPr>
        <w:t>letve felhasználni.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bálázott lágyszárú növények pellettálására (SZENTER névvel) technológiai sort állítottunk össze, amelyet a Szabadalmi Hivatal Y070011151/4 ügyira</w:t>
      </w:r>
      <w:r>
        <w:rPr>
          <w:sz w:val="28"/>
        </w:rPr>
        <w:t>t</w:t>
      </w:r>
      <w:r>
        <w:rPr>
          <w:sz w:val="28"/>
        </w:rPr>
        <w:t>számmal 000303 nyilvántartási számmal bejegyzett.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 xml:space="preserve"> A lágy</w:t>
      </w:r>
      <w:r>
        <w:rPr>
          <w:sz w:val="28"/>
        </w:rPr>
        <w:t>szárú növényekből készült pellet kis átmérőjű (3-20 mm), nagy fűtőért</w:t>
      </w:r>
      <w:r>
        <w:rPr>
          <w:sz w:val="28"/>
        </w:rPr>
        <w:t>é</w:t>
      </w:r>
      <w:r>
        <w:rPr>
          <w:sz w:val="28"/>
        </w:rPr>
        <w:t>kű (16-19,5 MJ/kg), kis nedvességtartalmú (6-10 %), 0,7-1,3 g/cm³ sűrűségű, 20-30 mm hosszú, he</w:t>
      </w:r>
      <w:r>
        <w:rPr>
          <w:sz w:val="28"/>
        </w:rPr>
        <w:t>n</w:t>
      </w:r>
      <w:r>
        <w:rPr>
          <w:sz w:val="28"/>
        </w:rPr>
        <w:t xml:space="preserve">geres alakú fűtőanyag. </w:t>
      </w:r>
    </w:p>
    <w:p w:rsidR="00000000" w:rsidRDefault="00795E81">
      <w:pPr>
        <w:rPr>
          <w:b/>
        </w:rPr>
      </w:pPr>
    </w:p>
    <w:p w:rsidR="00000000" w:rsidRDefault="00795E81">
      <w:pPr>
        <w:jc w:val="both"/>
        <w:rPr>
          <w:sz w:val="28"/>
        </w:rPr>
      </w:pPr>
      <w:r>
        <w:rPr>
          <w:b/>
          <w:sz w:val="28"/>
        </w:rPr>
        <w:t xml:space="preserve">A gépsor első eleme </w:t>
      </w:r>
      <w:r>
        <w:rPr>
          <w:sz w:val="28"/>
        </w:rPr>
        <w:t>a bálatovábbító konvejor, melyre egyszerre 6-</w:t>
      </w:r>
      <w:r>
        <w:rPr>
          <w:sz w:val="28"/>
        </w:rPr>
        <w:t>8 db nagyb</w:t>
      </w:r>
      <w:r>
        <w:rPr>
          <w:sz w:val="28"/>
        </w:rPr>
        <w:t>á</w:t>
      </w:r>
      <w:r>
        <w:rPr>
          <w:sz w:val="28"/>
        </w:rPr>
        <w:t>la (260-490 kg/db) helyezhető. Ez a gép biztosítja a technológia működéséhez szükséges alapanyag folyamatos adagolását, annak ellenére, hogy a bálák felr</w:t>
      </w:r>
      <w:r>
        <w:rPr>
          <w:sz w:val="28"/>
        </w:rPr>
        <w:t>a</w:t>
      </w:r>
      <w:r>
        <w:rPr>
          <w:sz w:val="28"/>
        </w:rPr>
        <w:t>kása szakaszosan történik. A szak</w:t>
      </w:r>
      <w:r>
        <w:rPr>
          <w:sz w:val="28"/>
        </w:rPr>
        <w:t>a</w:t>
      </w:r>
      <w:r>
        <w:rPr>
          <w:sz w:val="28"/>
        </w:rPr>
        <w:t xml:space="preserve">szok közötti „holtidő” alkalmas arra, hogy a rakodógép a </w:t>
      </w:r>
      <w:r>
        <w:rPr>
          <w:sz w:val="28"/>
        </w:rPr>
        <w:t xml:space="preserve">feldolgozás-technológia más helyein hasznosuljon </w:t>
      </w:r>
    </w:p>
    <w:p w:rsidR="00000000" w:rsidRDefault="00795E81">
      <w:pPr>
        <w:rPr>
          <w:b/>
        </w:rPr>
      </w:pPr>
    </w:p>
    <w:p w:rsidR="00000000" w:rsidRDefault="00795E81">
      <w:pPr>
        <w:jc w:val="both"/>
        <w:rPr>
          <w:sz w:val="28"/>
        </w:rPr>
      </w:pPr>
      <w:r>
        <w:rPr>
          <w:b/>
          <w:sz w:val="28"/>
        </w:rPr>
        <w:t>A második gépsor-elem</w:t>
      </w:r>
      <w:r>
        <w:rPr>
          <w:sz w:val="28"/>
        </w:rPr>
        <w:t xml:space="preserve"> a bálabontó-aprító, itt történik a lágyszárú alapanyag (kör,- vagy kocka nag</w:t>
      </w:r>
      <w:r>
        <w:rPr>
          <w:sz w:val="28"/>
        </w:rPr>
        <w:t>y</w:t>
      </w:r>
      <w:r>
        <w:rPr>
          <w:sz w:val="28"/>
        </w:rPr>
        <w:t>bála) könnyű továbbíthatósága érdekében az anyag 0,3-1,5 cm-es részecskékre aprítása. Ez a berendezés a SZ</w:t>
      </w:r>
      <w:r>
        <w:rPr>
          <w:sz w:val="28"/>
        </w:rPr>
        <w:t>ENTER feldolgozás tec</w:t>
      </w:r>
      <w:r>
        <w:rPr>
          <w:sz w:val="28"/>
        </w:rPr>
        <w:t>h</w:t>
      </w:r>
      <w:r>
        <w:rPr>
          <w:sz w:val="28"/>
        </w:rPr>
        <w:t>nológiáinak fontos eleme, és szab</w:t>
      </w:r>
      <w:r>
        <w:rPr>
          <w:sz w:val="28"/>
        </w:rPr>
        <w:t>a</w:t>
      </w:r>
      <w:r>
        <w:rPr>
          <w:sz w:val="28"/>
        </w:rPr>
        <w:t>dalom védi. A szabadalom lényege, hogy az előtömörített, bálázott növényt a bálabontóval egybeépített kalapácsos darálóval aprítják fel, szárítási technológia beiktatása nélkül. A találmány szerinti b</w:t>
      </w:r>
      <w:r>
        <w:rPr>
          <w:sz w:val="28"/>
        </w:rPr>
        <w:t>ere</w:t>
      </w:r>
      <w:r>
        <w:rPr>
          <w:sz w:val="28"/>
        </w:rPr>
        <w:t>n</w:t>
      </w:r>
      <w:r>
        <w:rPr>
          <w:sz w:val="28"/>
        </w:rPr>
        <w:t>dezés a bálabontás és darálás műveletét összeépített egységként valósítja meg úgy, hogy a 20 % nedvességtartalom alatt lévő előtömörítményekből (k</w:t>
      </w:r>
      <w:r>
        <w:rPr>
          <w:sz w:val="28"/>
        </w:rPr>
        <w:t>ü</w:t>
      </w:r>
      <w:r>
        <w:rPr>
          <w:sz w:val="28"/>
        </w:rPr>
        <w:t>lönböző alakú nagybálákból) első lépésként forgódobos bálabontással 50-100 mm hosszú szálakat tép le, maj</w:t>
      </w:r>
      <w:r>
        <w:rPr>
          <w:sz w:val="28"/>
        </w:rPr>
        <w:t>d ezen anyagok - a bálabontóval összeépített kalapácsos dar</w:t>
      </w:r>
      <w:r>
        <w:rPr>
          <w:sz w:val="28"/>
        </w:rPr>
        <w:t>á</w:t>
      </w:r>
      <w:r>
        <w:rPr>
          <w:sz w:val="28"/>
        </w:rPr>
        <w:t xml:space="preserve">lóban - a rosta lyukátmérőjének megfelelő, általában 5-10 mm hosszú szálakra aprítják. A bálabontóval egybeépített kalapácsos daráló a lágyszárú növényekből készülő energia-tömörítmények fajlagos </w:t>
      </w:r>
      <w:r>
        <w:rPr>
          <w:sz w:val="28"/>
        </w:rPr>
        <w:t>költségeit nagymértékben csökkenti, lehetőséget ad a növények gyors és olcsó feldolgozására, az (ideális nedvessé</w:t>
      </w:r>
      <w:r>
        <w:rPr>
          <w:sz w:val="28"/>
        </w:rPr>
        <w:t>g</w:t>
      </w:r>
      <w:r>
        <w:rPr>
          <w:sz w:val="28"/>
        </w:rPr>
        <w:t>tartalommal) elvégzett bálázás után.</w:t>
      </w:r>
    </w:p>
    <w:p w:rsidR="00000000" w:rsidRDefault="00795E81">
      <w:pPr>
        <w:jc w:val="both"/>
        <w:rPr>
          <w:sz w:val="28"/>
        </w:rPr>
      </w:pPr>
      <w:r>
        <w:rPr>
          <w:b/>
          <w:sz w:val="28"/>
        </w:rPr>
        <w:t xml:space="preserve">Ezt követően megtörténik </w:t>
      </w:r>
      <w:r>
        <w:rPr>
          <w:sz w:val="28"/>
        </w:rPr>
        <w:t xml:space="preserve">az összes fémes idegen anyag leválasztása, mágnes segítségével (mágnes-csapda). 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 xml:space="preserve">Az alapanyag </w:t>
      </w:r>
      <w:r>
        <w:rPr>
          <w:b/>
          <w:sz w:val="28"/>
        </w:rPr>
        <w:t xml:space="preserve">innen pneumatikus továbbítással a tároló ciklonba </w:t>
      </w:r>
      <w:r>
        <w:rPr>
          <w:sz w:val="28"/>
        </w:rPr>
        <w:t>jut. Ezek után a száraz, pellettálásra alkalmas szemcse méretű darálék a ciklonban várja a feldolgozást. A feldolgozás következő fázisa az előkeverőben zajlik, ahol nag</w:t>
      </w:r>
      <w:r>
        <w:rPr>
          <w:sz w:val="28"/>
        </w:rPr>
        <w:t>y</w:t>
      </w:r>
      <w:r>
        <w:rPr>
          <w:sz w:val="28"/>
        </w:rPr>
        <w:t>nyomású vízzel kondicio</w:t>
      </w:r>
      <w:r>
        <w:rPr>
          <w:sz w:val="28"/>
        </w:rPr>
        <w:t>nálják az anyagot a jobb préselhetőség érdek</w:t>
      </w:r>
      <w:r>
        <w:rPr>
          <w:sz w:val="28"/>
        </w:rPr>
        <w:t>é</w:t>
      </w:r>
      <w:r>
        <w:rPr>
          <w:sz w:val="28"/>
        </w:rPr>
        <w:t xml:space="preserve">ben. 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>Az ellenáramú előkeverőben homogenizált alapanyagot az anyagtovábbító ju</w:t>
      </w:r>
      <w:r>
        <w:rPr>
          <w:sz w:val="28"/>
        </w:rPr>
        <w:t>t</w:t>
      </w:r>
      <w:r>
        <w:rPr>
          <w:sz w:val="28"/>
        </w:rPr>
        <w:t>tatja a préshez. Közvetlenül a présgépbe jutás előtt még lehetőség van a nedve</w:t>
      </w:r>
      <w:r>
        <w:rPr>
          <w:sz w:val="28"/>
        </w:rPr>
        <w:t>s</w:t>
      </w:r>
      <w:r>
        <w:rPr>
          <w:sz w:val="28"/>
        </w:rPr>
        <w:t>ségtartalom finom beállítására, ami a kevert energeti</w:t>
      </w:r>
      <w:r>
        <w:rPr>
          <w:sz w:val="28"/>
        </w:rPr>
        <w:t>kai növényi alapanyagok ún. pellet-mixek gyártásánál igen fontos.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pelletálás művelet során, egy speciális szerszámon, a matricán préselik át az alapanyagot. A megfelelően előkészített pellettálandó anyag gravitációs úton jut a préskamrába. A lassú sebes</w:t>
      </w:r>
      <w:r>
        <w:rPr>
          <w:sz w:val="28"/>
        </w:rPr>
        <w:t>ségű (2,5 m/sec.) kollerhenger egyrészt jól légtel</w:t>
      </w:r>
      <w:r>
        <w:rPr>
          <w:sz w:val="28"/>
        </w:rPr>
        <w:t>e</w:t>
      </w:r>
      <w:r>
        <w:rPr>
          <w:sz w:val="28"/>
        </w:rPr>
        <w:t xml:space="preserve">níti az anyagot, másrészt a prés nyugodtan és zajtalanul működik (&lt; 70 db). A kollerhenger és a matrica közötti távolság nagyon fontos, akár egyfajú, akár többfajú (mix) növényi alapanyagot dolgoznak fel. </w:t>
      </w:r>
      <w:r>
        <w:rPr>
          <w:sz w:val="28"/>
        </w:rPr>
        <w:t>A SZENTER által alkalm</w:t>
      </w:r>
      <w:r>
        <w:rPr>
          <w:sz w:val="28"/>
        </w:rPr>
        <w:t>a</w:t>
      </w:r>
      <w:r>
        <w:rPr>
          <w:sz w:val="28"/>
        </w:rPr>
        <w:t>zott síkmatricás technológiánál - működés közben is szabályozható - az anya</w:t>
      </w:r>
      <w:r>
        <w:rPr>
          <w:sz w:val="28"/>
        </w:rPr>
        <w:t>g</w:t>
      </w:r>
      <w:r>
        <w:rPr>
          <w:sz w:val="28"/>
        </w:rPr>
        <w:t>minőség függvényében a matrica és a kollerhenger közötti távolság (rés). Az átpr</w:t>
      </w:r>
      <w:r>
        <w:rPr>
          <w:sz w:val="28"/>
        </w:rPr>
        <w:t>é</w:t>
      </w:r>
      <w:r>
        <w:rPr>
          <w:sz w:val="28"/>
        </w:rPr>
        <w:t>selés során keletkező nyomás (800-900 bar) és a hőmérséklet a matricákba fúr</w:t>
      </w:r>
      <w:r>
        <w:rPr>
          <w:sz w:val="28"/>
        </w:rPr>
        <w:t>t préslyukak alakjára és méretére (általában 3-20 mm) formázza a pellettet. Jó m</w:t>
      </w:r>
      <w:r>
        <w:rPr>
          <w:sz w:val="28"/>
        </w:rPr>
        <w:t>i</w:t>
      </w:r>
      <w:r>
        <w:rPr>
          <w:sz w:val="28"/>
        </w:rPr>
        <w:t>nőségű pellet a szükséges présnyomás, és a megfelelő matricahőmérséklet elérése után termelhető, így a gépet minél ritkábban érdemes – csak a karbanta</w:t>
      </w:r>
      <w:r>
        <w:rPr>
          <w:sz w:val="28"/>
        </w:rPr>
        <w:t>r</w:t>
      </w:r>
      <w:r>
        <w:rPr>
          <w:sz w:val="28"/>
        </w:rPr>
        <w:t>tások idejére – leállíta</w:t>
      </w:r>
      <w:r>
        <w:rPr>
          <w:sz w:val="28"/>
        </w:rPr>
        <w:t>ni, folyamatosan célsz</w:t>
      </w:r>
      <w:r>
        <w:rPr>
          <w:sz w:val="28"/>
        </w:rPr>
        <w:t>e</w:t>
      </w:r>
      <w:r>
        <w:rPr>
          <w:sz w:val="28"/>
        </w:rPr>
        <w:t>rű azt üzemeltetni.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>A matricát elhagyó forró pellettet egy kés - a kívánt méretre,- letöri. A présgép elhagyása után a pellettet hűteni kell, hogy megfelelően szilárd legyen, ne tö</w:t>
      </w:r>
      <w:r>
        <w:rPr>
          <w:sz w:val="28"/>
        </w:rPr>
        <w:t>r</w:t>
      </w:r>
      <w:r>
        <w:rPr>
          <w:sz w:val="28"/>
        </w:rPr>
        <w:t>jön, morzsolódjon. Erre a célra az ellenáramú hűtő s</w:t>
      </w:r>
      <w:r>
        <w:rPr>
          <w:sz w:val="28"/>
        </w:rPr>
        <w:t>zolgál.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>A lehűlt pellet áthalad a rázóasztalon, ahol a port és könnyen leváló morzs</w:t>
      </w:r>
      <w:r>
        <w:rPr>
          <w:sz w:val="28"/>
        </w:rPr>
        <w:t>a</w:t>
      </w:r>
      <w:r>
        <w:rPr>
          <w:sz w:val="28"/>
        </w:rPr>
        <w:t>lékot kiszitálják a pellet halmazból. A gyártás során keletkező morzsalékot, a port egy elszívó rendszer összegyűjti, és vissz</w:t>
      </w:r>
      <w:r>
        <w:rPr>
          <w:sz w:val="28"/>
        </w:rPr>
        <w:t>a</w:t>
      </w:r>
      <w:r>
        <w:rPr>
          <w:sz w:val="28"/>
        </w:rPr>
        <w:t xml:space="preserve">juttatja az apríték / darálék ciklonba. 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>Az e</w:t>
      </w:r>
      <w:r>
        <w:rPr>
          <w:sz w:val="28"/>
        </w:rPr>
        <w:t>llenáramú hűtő után a rázóasztalon áthaladt szabványszerű pellet a csom</w:t>
      </w:r>
      <w:r>
        <w:rPr>
          <w:sz w:val="28"/>
        </w:rPr>
        <w:t>a</w:t>
      </w:r>
      <w:r>
        <w:rPr>
          <w:sz w:val="28"/>
        </w:rPr>
        <w:t xml:space="preserve">golóba kerül, ahol 15 kg-os, vagy big-bag (1 t) zsákokba csomagolják, esetleg ömlesztve továbbítják futószalagon, majd tárolják. </w:t>
      </w:r>
    </w:p>
    <w:p w:rsidR="00000000" w:rsidRDefault="00795E81">
      <w:pPr>
        <w:ind w:left="708"/>
        <w:jc w:val="both"/>
        <w:rPr>
          <w:sz w:val="28"/>
        </w:rPr>
        <w:sectPr w:rsidR="0000000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00000" w:rsidRDefault="00795E81">
      <w:pPr>
        <w:ind w:left="708"/>
        <w:jc w:val="center"/>
        <w:rPr>
          <w:b/>
          <w:bCs/>
          <w:sz w:val="28"/>
        </w:rPr>
      </w:pPr>
      <w:r>
        <w:rPr>
          <w:b/>
          <w:bCs/>
          <w:sz w:val="28"/>
        </w:rPr>
        <w:t>SZENTER pelettálás technológia elvi vázlata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913BEB">
      <w:pPr>
        <w:ind w:left="708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7886700" cy="490537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  <w:sectPr w:rsidR="00000000">
          <w:type w:val="oddPage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000000" w:rsidRDefault="00795E81">
      <w:pPr>
        <w:jc w:val="both"/>
        <w:rPr>
          <w:sz w:val="28"/>
          <w:u w:val="single"/>
        </w:rPr>
      </w:pPr>
      <w:r>
        <w:rPr>
          <w:sz w:val="28"/>
          <w:u w:val="single"/>
        </w:rPr>
        <w:t>I./</w:t>
      </w:r>
      <w:r>
        <w:rPr>
          <w:sz w:val="28"/>
          <w:u w:val="single"/>
        </w:rPr>
        <w:t>2.2. A hőtermelés eszközei (kazánok)</w:t>
      </w:r>
    </w:p>
    <w:p w:rsidR="00000000" w:rsidRDefault="00795E81">
      <w:pPr>
        <w:jc w:val="both"/>
        <w:rPr>
          <w:sz w:val="28"/>
        </w:rPr>
      </w:pPr>
      <w:r>
        <w:rPr>
          <w:noProof/>
          <w:sz w:val="20"/>
        </w:rPr>
        <w:pict>
          <v:shape id="_x0000_s1120" type="#_x0000_t202" style="position:absolute;left:0;text-align:left;margin-left:0;margin-top:226.9pt;width:251.95pt;height:156pt;z-index:251681792">
            <v:textbox>
              <w:txbxContent>
                <w:p w:rsidR="00000000" w:rsidRDefault="00913BEB">
                  <w:r>
                    <w:rPr>
                      <w:noProof/>
                    </w:rPr>
                    <w:drawing>
                      <wp:inline distT="0" distB="0" distL="0" distR="0">
                        <wp:extent cx="3009900" cy="1876425"/>
                        <wp:effectExtent l="19050" t="0" r="0" b="0"/>
                        <wp:docPr id="6" name="Kép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sz w:val="28"/>
        </w:rPr>
        <w:t>Hőtermelési technológiánk fontos eszközei a stabil rostélyú és az   ún. mozgó- vagy vándo</w:t>
      </w:r>
      <w:r>
        <w:rPr>
          <w:sz w:val="28"/>
        </w:rPr>
        <w:t>r</w:t>
      </w:r>
      <w:r>
        <w:rPr>
          <w:sz w:val="28"/>
        </w:rPr>
        <w:t>rostélyos kazánok. Műszaki megoldásuk és egyedi teljesítményük alapján három gyártmán</w:t>
      </w:r>
      <w:r>
        <w:rPr>
          <w:sz w:val="28"/>
        </w:rPr>
        <w:t>y</w:t>
      </w:r>
      <w:r>
        <w:rPr>
          <w:sz w:val="28"/>
        </w:rPr>
        <w:t>csoportra, típusra oszthatók.  Az első cso</w:t>
      </w:r>
      <w:r>
        <w:rPr>
          <w:sz w:val="28"/>
        </w:rPr>
        <w:t xml:space="preserve">portba a stabil rostélyos a második </w:t>
      </w:r>
      <w:r>
        <w:rPr>
          <w:b/>
          <w:bCs/>
          <w:i/>
          <w:iCs/>
          <w:sz w:val="28"/>
        </w:rPr>
        <w:t>csoportba a forgórostélyos Carborobot® kazáncsalád ta</w:t>
      </w:r>
      <w:r>
        <w:rPr>
          <w:b/>
          <w:bCs/>
          <w:i/>
          <w:iCs/>
          <w:sz w:val="28"/>
        </w:rPr>
        <w:t>r</w:t>
      </w:r>
      <w:r>
        <w:rPr>
          <w:b/>
          <w:bCs/>
          <w:i/>
          <w:iCs/>
          <w:sz w:val="28"/>
        </w:rPr>
        <w:t>tozik, melyeknek egyedi kazánteljesítményei 30 kW-tól 300 kW-ig te</w:t>
      </w:r>
      <w:r>
        <w:rPr>
          <w:b/>
          <w:bCs/>
          <w:i/>
          <w:iCs/>
          <w:sz w:val="28"/>
        </w:rPr>
        <w:t>r</w:t>
      </w:r>
      <w:r>
        <w:rPr>
          <w:b/>
          <w:bCs/>
          <w:i/>
          <w:iCs/>
          <w:sz w:val="28"/>
        </w:rPr>
        <w:t>jedne</w:t>
      </w:r>
      <w:r>
        <w:rPr>
          <w:sz w:val="28"/>
        </w:rPr>
        <w:t xml:space="preserve">k. A harmadik csoportba a </w:t>
      </w:r>
      <w:r>
        <w:rPr>
          <w:b/>
          <w:bCs/>
          <w:i/>
          <w:iCs/>
          <w:sz w:val="28"/>
        </w:rPr>
        <w:t>Bioláng kazáncsalád tartozik, mely csoport egyedi kazá</w:t>
      </w:r>
      <w:r>
        <w:rPr>
          <w:b/>
          <w:bCs/>
          <w:i/>
          <w:iCs/>
          <w:sz w:val="28"/>
        </w:rPr>
        <w:t>n</w:t>
      </w:r>
      <w:r>
        <w:rPr>
          <w:b/>
          <w:bCs/>
          <w:i/>
          <w:iCs/>
          <w:sz w:val="28"/>
        </w:rPr>
        <w:t>teljesítménye</w:t>
      </w:r>
      <w:r>
        <w:rPr>
          <w:b/>
          <w:bCs/>
          <w:i/>
          <w:iCs/>
          <w:sz w:val="28"/>
        </w:rPr>
        <w:t>i 400 kW-tól 5.000 kW-ig terjednek</w:t>
      </w:r>
      <w:r>
        <w:rPr>
          <w:sz w:val="28"/>
        </w:rPr>
        <w:t>. Mindhárom kazáncsoport egységei a lágyszárú növényeket a mindenkor hatályos magyar és uniós hőtermelő tevékenységre érvényes és hatályos jogszabályok keretein belül has</w:t>
      </w:r>
      <w:r>
        <w:rPr>
          <w:sz w:val="28"/>
        </w:rPr>
        <w:t>z</w:t>
      </w:r>
      <w:r>
        <w:rPr>
          <w:sz w:val="28"/>
        </w:rPr>
        <w:t>nosítják. Ezek a kazántípusok széles skálát biztosí</w:t>
      </w:r>
      <w:r>
        <w:rPr>
          <w:sz w:val="28"/>
        </w:rPr>
        <w:t>tanak a hőtermelési integráció nagyságát illetően, a különböző kapacitású energiaközpontok kazánlépcs</w:t>
      </w:r>
      <w:r>
        <w:rPr>
          <w:sz w:val="28"/>
        </w:rPr>
        <w:t>ő</w:t>
      </w:r>
      <w:r>
        <w:rPr>
          <w:sz w:val="28"/>
        </w:rPr>
        <w:t>inek összeállításában. Valamennyi kazán automata üzemű. Tüzelőanyag tölt</w:t>
      </w:r>
      <w:r>
        <w:rPr>
          <w:sz w:val="28"/>
        </w:rPr>
        <w:t>é</w:t>
      </w:r>
      <w:r>
        <w:rPr>
          <w:sz w:val="28"/>
        </w:rPr>
        <w:t>sükre többféle betáplálási rendszert alakítottunk ki technikai célszerűségi, ga</w:t>
      </w:r>
      <w:r>
        <w:rPr>
          <w:sz w:val="28"/>
        </w:rPr>
        <w:t>z</w:t>
      </w:r>
      <w:r>
        <w:rPr>
          <w:sz w:val="28"/>
        </w:rPr>
        <w:t>d</w:t>
      </w:r>
      <w:r>
        <w:rPr>
          <w:sz w:val="28"/>
        </w:rPr>
        <w:t>asági és a létrehozandó energiaközpontok adottságai (iskola, óvoda udvar vagy ipari há</w:t>
      </w:r>
      <w:r>
        <w:rPr>
          <w:sz w:val="28"/>
        </w:rPr>
        <w:t>t</w:t>
      </w:r>
      <w:r>
        <w:rPr>
          <w:sz w:val="28"/>
        </w:rPr>
        <w:t>só udvar stb.) figyelembe vétel</w:t>
      </w:r>
      <w:r>
        <w:rPr>
          <w:sz w:val="28"/>
        </w:rPr>
        <w:t>é</w:t>
      </w:r>
      <w:r>
        <w:rPr>
          <w:sz w:val="28"/>
        </w:rPr>
        <w:t>vel.</w:t>
      </w:r>
    </w:p>
    <w:p w:rsidR="00000000" w:rsidRDefault="00795E81">
      <w:pPr>
        <w:jc w:val="both"/>
        <w:rPr>
          <w:sz w:val="28"/>
        </w:rPr>
      </w:pPr>
      <w:r>
        <w:rPr>
          <w:b/>
          <w:bCs/>
          <w:i/>
          <w:iCs/>
          <w:sz w:val="28"/>
          <w:u w:val="single"/>
        </w:rPr>
        <w:t>A rendszer e moduljában – ala</w:t>
      </w:r>
      <w:r>
        <w:rPr>
          <w:b/>
          <w:bCs/>
          <w:i/>
          <w:iCs/>
          <w:sz w:val="28"/>
          <w:u w:val="single"/>
        </w:rPr>
        <w:t>p</w:t>
      </w:r>
      <w:r>
        <w:rPr>
          <w:b/>
          <w:bCs/>
          <w:i/>
          <w:iCs/>
          <w:sz w:val="28"/>
          <w:u w:val="single"/>
        </w:rPr>
        <w:t>helyzetben – a CARBOROBOT kazáncsaládot javasoljuk alka</w:t>
      </w:r>
      <w:r>
        <w:rPr>
          <w:b/>
          <w:bCs/>
          <w:i/>
          <w:iCs/>
          <w:sz w:val="28"/>
          <w:u w:val="single"/>
        </w:rPr>
        <w:t>l</w:t>
      </w:r>
      <w:r>
        <w:rPr>
          <w:b/>
          <w:bCs/>
          <w:i/>
          <w:iCs/>
          <w:sz w:val="28"/>
          <w:u w:val="single"/>
        </w:rPr>
        <w:t>mazni</w:t>
      </w:r>
      <w:r>
        <w:rPr>
          <w:sz w:val="28"/>
        </w:rPr>
        <w:t>. Ezeket a kazánokat ugy</w:t>
      </w:r>
      <w:r>
        <w:rPr>
          <w:sz w:val="28"/>
        </w:rPr>
        <w:t>a</w:t>
      </w:r>
      <w:r>
        <w:rPr>
          <w:sz w:val="28"/>
        </w:rPr>
        <w:t>n</w:t>
      </w:r>
      <w:r>
        <w:rPr>
          <w:sz w:val="28"/>
        </w:rPr>
        <w:t>is kifejezetten</w:t>
      </w:r>
      <w:r>
        <w:rPr>
          <w:sz w:val="28"/>
        </w:rPr>
        <w:t xml:space="preserve"> a lágyszárú növ</w:t>
      </w:r>
      <w:r>
        <w:rPr>
          <w:sz w:val="28"/>
        </w:rPr>
        <w:t>é</w:t>
      </w:r>
      <w:r>
        <w:rPr>
          <w:sz w:val="28"/>
        </w:rPr>
        <w:t>nyekből készült pelletek t</w:t>
      </w:r>
      <w:r>
        <w:rPr>
          <w:sz w:val="28"/>
        </w:rPr>
        <w:t>ü</w:t>
      </w:r>
      <w:r>
        <w:rPr>
          <w:sz w:val="28"/>
        </w:rPr>
        <w:t>zelés</w:t>
      </w:r>
      <w:r>
        <w:rPr>
          <w:sz w:val="28"/>
        </w:rPr>
        <w:t>é</w:t>
      </w:r>
      <w:r>
        <w:rPr>
          <w:sz w:val="28"/>
        </w:rPr>
        <w:t xml:space="preserve">re fejlesztették ki. </w:t>
      </w:r>
    </w:p>
    <w:tbl>
      <w:tblPr>
        <w:tblpPr w:leftFromText="141" w:rightFromText="141" w:vertAnchor="text" w:horzAnchor="margin" w:tblpY="232"/>
        <w:tblW w:w="9100" w:type="dxa"/>
        <w:tblCellMar>
          <w:left w:w="0" w:type="dxa"/>
          <w:right w:w="0" w:type="dxa"/>
        </w:tblCellMar>
        <w:tblLook w:val="0000"/>
      </w:tblPr>
      <w:tblGrid>
        <w:gridCol w:w="2029"/>
        <w:gridCol w:w="1015"/>
        <w:gridCol w:w="740"/>
        <w:gridCol w:w="758"/>
        <w:gridCol w:w="804"/>
        <w:gridCol w:w="789"/>
        <w:gridCol w:w="875"/>
        <w:gridCol w:w="430"/>
        <w:gridCol w:w="597"/>
        <w:gridCol w:w="607"/>
        <w:gridCol w:w="456"/>
      </w:tblGrid>
      <w:tr w:rsidR="00000000">
        <w:trPr>
          <w:trHeight w:val="270"/>
        </w:trPr>
        <w:tc>
          <w:tcPr>
            <w:tcW w:w="910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Carborobot lágyszárú növényekből készült pelletfűtésre alkalmas kazánjainak adatai</w:t>
            </w:r>
          </w:p>
        </w:tc>
      </w:tr>
      <w:tr w:rsidR="00000000">
        <w:trPr>
          <w:cantSplit/>
          <w:trHeight w:val="270"/>
        </w:trPr>
        <w:tc>
          <w:tcPr>
            <w:tcW w:w="202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Típus</w:t>
            </w:r>
          </w:p>
        </w:tc>
        <w:tc>
          <w:tcPr>
            <w:tcW w:w="1015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Teljesítmény  kW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Ár FT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</w:t>
            </w: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2010-05-31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Méretek mm</w:t>
            </w:r>
          </w:p>
        </w:tc>
        <w:tc>
          <w:tcPr>
            <w:tcW w:w="43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Üres súly kg</w:t>
            </w: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Fűthető m3</w:t>
            </w:r>
          </w:p>
        </w:tc>
        <w:tc>
          <w:tcPr>
            <w:tcW w:w="607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Tartály térfogat m3</w:t>
            </w:r>
          </w:p>
        </w:tc>
        <w:tc>
          <w:tcPr>
            <w:tcW w:w="456" w:type="dxa"/>
            <w:vMerge w:val="restart"/>
            <w:tcBorders>
              <w:top w:val="nil"/>
              <w:left w:val="nil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Pellet felh. Max kg/</w:t>
            </w: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h</w:t>
            </w:r>
          </w:p>
        </w:tc>
      </w:tr>
      <w:tr w:rsidR="00000000">
        <w:trPr>
          <w:cantSplit/>
          <w:trHeight w:val="435"/>
        </w:trPr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 xml:space="preserve">  Bruttó </w:t>
            </w:r>
          </w:p>
        </w:tc>
        <w:tc>
          <w:tcPr>
            <w:tcW w:w="75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Nettó</w:t>
            </w:r>
          </w:p>
        </w:tc>
        <w:tc>
          <w:tcPr>
            <w:tcW w:w="80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Magasság</w:t>
            </w:r>
          </w:p>
        </w:tc>
        <w:tc>
          <w:tcPr>
            <w:tcW w:w="7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Szélesség</w:t>
            </w:r>
          </w:p>
        </w:tc>
        <w:tc>
          <w:tcPr>
            <w:tcW w:w="87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Hosszuság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C30 Bio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975 000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780 000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10</w:t>
            </w:r>
          </w:p>
        </w:tc>
      </w:tr>
      <w:tr w:rsidR="00000000">
        <w:trPr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C40 Bio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1 112 500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890 000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12</w:t>
            </w:r>
          </w:p>
        </w:tc>
      </w:tr>
      <w:tr w:rsidR="00000000">
        <w:trPr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C80 Bio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2 062 500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1 650 000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20</w:t>
            </w:r>
          </w:p>
        </w:tc>
      </w:tr>
      <w:tr w:rsidR="00000000">
        <w:trPr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C120 Bio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525 000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2 820 000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33</w:t>
            </w:r>
          </w:p>
        </w:tc>
      </w:tr>
      <w:tr w:rsidR="00000000">
        <w:trPr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C140 Bio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3 525 000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2 820 000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33</w:t>
            </w:r>
          </w:p>
        </w:tc>
      </w:tr>
      <w:tr w:rsidR="00000000">
        <w:trPr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C180 Bio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4 312 500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3 450 000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44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C300 Bio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4 975 000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3 980 000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2 320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1 630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2 275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3 100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 xml:space="preserve">5 </w:t>
            </w:r>
            <w:r>
              <w:rPr>
                <w:rFonts w:ascii="Arial" w:hAnsi="Arial" w:cs="Arial" w:hint="eastAsia"/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70</w:t>
            </w:r>
          </w:p>
        </w:tc>
      </w:tr>
      <w:tr w:rsidR="00000000">
        <w:trPr>
          <w:cantSplit/>
          <w:trHeight w:val="270"/>
        </w:trPr>
        <w:tc>
          <w:tcPr>
            <w:tcW w:w="4542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sz w:val="16"/>
                <w:szCs w:val="16"/>
              </w:rPr>
              <w:t>Tartozékok</w:t>
            </w:r>
          </w:p>
        </w:tc>
        <w:tc>
          <w:tcPr>
            <w:tcW w:w="4558" w:type="dxa"/>
            <w:gridSpan w:val="7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</w:tcPr>
          <w:p w:rsidR="00000000" w:rsidRDefault="00795E81">
            <w:pPr>
              <w:jc w:val="both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A kazánok lágyszárú pellet, illetve szén tüzelésre, illetve ezek keverékének tüzelésére alkalmasak. A kazán árak magukba foglalják a teljes szabályozó elektronikát. Az árak magukba foglalják a helyszíni szemlét a kazán szállítását és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installáci</w:t>
            </w:r>
            <w:r>
              <w:rPr>
                <w:rFonts w:ascii="Arial" w:hAnsi="Arial" w:cs="Arial" w:hint="eastAsia"/>
                <w:sz w:val="16"/>
                <w:szCs w:val="16"/>
              </w:rPr>
              <w:t>ó</w:t>
            </w:r>
            <w:r>
              <w:rPr>
                <w:rFonts w:ascii="Arial" w:hAnsi="Arial" w:cs="Arial" w:hint="eastAsia"/>
                <w:sz w:val="16"/>
                <w:szCs w:val="16"/>
              </w:rPr>
              <w:t>ját. Az installáció viszont nem foglalja magában a víz oldal beköt</w:t>
            </w:r>
            <w:r>
              <w:rPr>
                <w:rFonts w:ascii="Arial" w:hAnsi="Arial" w:cs="Arial" w:hint="eastAsia"/>
                <w:sz w:val="16"/>
                <w:szCs w:val="16"/>
              </w:rPr>
              <w:t>é</w:t>
            </w:r>
            <w:r>
              <w:rPr>
                <w:rFonts w:ascii="Arial" w:hAnsi="Arial" w:cs="Arial" w:hint="eastAsia"/>
                <w:sz w:val="16"/>
                <w:szCs w:val="16"/>
              </w:rPr>
              <w:t>sét. Külön kérésre térítés mellett a kazánhoz illeszkedő roz</w:t>
            </w:r>
            <w:r>
              <w:rPr>
                <w:rFonts w:ascii="Arial" w:hAnsi="Arial" w:cs="Arial" w:hint="eastAsia"/>
                <w:sz w:val="16"/>
                <w:szCs w:val="16"/>
              </w:rPr>
              <w:t>s</w:t>
            </w:r>
            <w:r>
              <w:rPr>
                <w:rFonts w:ascii="Arial" w:hAnsi="Arial" w:cs="Arial" w:hint="eastAsia"/>
                <w:sz w:val="16"/>
                <w:szCs w:val="16"/>
              </w:rPr>
              <w:t>damentes szigetelt kéményt is biztosít a szállító. Amenny</w:t>
            </w:r>
            <w:r>
              <w:rPr>
                <w:rFonts w:ascii="Arial" w:hAnsi="Arial" w:cs="Arial" w:hint="eastAsia"/>
                <w:sz w:val="16"/>
                <w:szCs w:val="16"/>
              </w:rPr>
              <w:t>i</w:t>
            </w:r>
            <w:r>
              <w:rPr>
                <w:rFonts w:ascii="Arial" w:hAnsi="Arial" w:cs="Arial" w:hint="eastAsia"/>
                <w:sz w:val="16"/>
                <w:szCs w:val="16"/>
              </w:rPr>
              <w:t>ben a vevő igényli a kazánban lévő tartály méretei által biztos</w:t>
            </w:r>
            <w:r>
              <w:rPr>
                <w:rFonts w:ascii="Arial" w:hAnsi="Arial" w:cs="Arial" w:hint="eastAsia"/>
                <w:sz w:val="16"/>
                <w:szCs w:val="16"/>
              </w:rPr>
              <w:t>í</w:t>
            </w:r>
            <w:r>
              <w:rPr>
                <w:rFonts w:ascii="Arial" w:hAnsi="Arial" w:cs="Arial" w:hint="eastAsia"/>
                <w:sz w:val="16"/>
                <w:szCs w:val="16"/>
              </w:rPr>
              <w:t>tott m</w:t>
            </w:r>
            <w:r>
              <w:rPr>
                <w:rFonts w:ascii="Arial" w:hAnsi="Arial" w:cs="Arial" w:hint="eastAsia"/>
                <w:sz w:val="16"/>
                <w:szCs w:val="16"/>
              </w:rPr>
              <w:t>ennyiségen túli automata utántöltést, e berendezések árait a kazán árak nem tartalmazzák.</w:t>
            </w:r>
          </w:p>
        </w:tc>
      </w:tr>
      <w:tr w:rsidR="00000000">
        <w:trPr>
          <w:cantSplit/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Tltőcsiga cső 3.m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368 750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295 000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000000">
        <w:trPr>
          <w:cantSplit/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Töltőcsiga vájus 3.m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381 250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305 000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000000">
        <w:trPr>
          <w:cantSplit/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Vájus csiga 2,2.m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318 750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255 000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000000">
        <w:trPr>
          <w:cantSplit/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Targoncás kanál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137 500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110 000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000000">
        <w:trPr>
          <w:cantSplit/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Kéményszelep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motoros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42 500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34 000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000000">
        <w:trPr>
          <w:cantSplit/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Csiga oldalról töltésre 3,5 m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400 000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320 000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000000">
        <w:trPr>
          <w:cantSplit/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Melegvíz 30 Kw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97 500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78 000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000000">
        <w:trPr>
          <w:cantSplit/>
          <w:trHeight w:val="24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C300 hoz töltő automatika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1 500 000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1 200 000</w: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  <w:tr w:rsidR="00000000">
        <w:trPr>
          <w:cantSplit/>
          <w:trHeight w:val="315"/>
        </w:trPr>
        <w:tc>
          <w:tcPr>
            <w:tcW w:w="0" w:type="auto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Melegvíz 60 KW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187 500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 w:hint="eastAsia"/>
                <w:sz w:val="16"/>
                <w:szCs w:val="16"/>
              </w:rPr>
              <w:t>150 000</w:t>
            </w:r>
          </w:p>
        </w:tc>
        <w:tc>
          <w:tcPr>
            <w:tcW w:w="0" w:type="auto"/>
            <w:gridSpan w:val="7"/>
            <w:vMerge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</w:tbl>
    <w:p w:rsidR="00000000" w:rsidRDefault="00795E81">
      <w:pPr>
        <w:jc w:val="both"/>
        <w:rPr>
          <w:sz w:val="28"/>
        </w:rPr>
      </w:pPr>
      <w:r>
        <w:rPr>
          <w:sz w:val="28"/>
        </w:rPr>
        <w:t>E kazánok alaphelyzetben alka</w:t>
      </w:r>
      <w:r>
        <w:rPr>
          <w:sz w:val="28"/>
        </w:rPr>
        <w:t>l</w:t>
      </w:r>
      <w:r>
        <w:rPr>
          <w:sz w:val="28"/>
        </w:rPr>
        <w:t>masak lágyszárú pelletek eltüzelésé</w:t>
      </w:r>
      <w:r>
        <w:rPr>
          <w:sz w:val="28"/>
        </w:rPr>
        <w:t>re hatásfokuk magas (85-95%) változatos kiegészítő berendezéseket fejlesztettek ki hozzájuk, és kiváló – minden szabványnak megfelelő – az emissziójuk. A kazánok térfog</w:t>
      </w:r>
      <w:r>
        <w:rPr>
          <w:sz w:val="28"/>
        </w:rPr>
        <w:t>a</w:t>
      </w:r>
      <w:r>
        <w:rPr>
          <w:sz w:val="28"/>
        </w:rPr>
        <w:t>ta – más típusokkal összehasonlítva – a teljesítményükhöz viszonyítva kicsi.</w:t>
      </w:r>
      <w:r>
        <w:rPr>
          <w:rStyle w:val="Lbjegyzet-hivatkozs"/>
          <w:sz w:val="28"/>
        </w:rPr>
        <w:footnoteReference w:id="14"/>
      </w:r>
      <w:r>
        <w:rPr>
          <w:sz w:val="28"/>
        </w:rPr>
        <w:t xml:space="preserve"> Az áraik </w:t>
      </w:r>
      <w:r>
        <w:rPr>
          <w:sz w:val="28"/>
        </w:rPr>
        <w:t>nagyon kedvezőek. Alkalmazásukban tapasztalataink vannak, szerv</w:t>
      </w:r>
      <w:r>
        <w:rPr>
          <w:sz w:val="28"/>
        </w:rPr>
        <w:t>i</w:t>
      </w:r>
      <w:r>
        <w:rPr>
          <w:sz w:val="28"/>
        </w:rPr>
        <w:t>zük, garanciájuk biztosított. E kazánokkal – pellet fűtés esetén - 1 MW maxim</w:t>
      </w:r>
      <w:r>
        <w:rPr>
          <w:sz w:val="28"/>
        </w:rPr>
        <w:t>á</w:t>
      </w:r>
      <w:r>
        <w:rPr>
          <w:sz w:val="28"/>
        </w:rPr>
        <w:t>lis igényig biztosítani lehet a megfelelő hő</w:t>
      </w:r>
      <w:r>
        <w:rPr>
          <w:rStyle w:val="Lbjegyzet-hivatkozs"/>
          <w:sz w:val="28"/>
        </w:rPr>
        <w:footnoteReference w:id="15"/>
      </w:r>
      <w:r>
        <w:rPr>
          <w:sz w:val="28"/>
        </w:rPr>
        <w:t>ellátást.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noProof/>
          <w:sz w:val="20"/>
        </w:rPr>
        <w:pict>
          <v:shape id="_x0000_s1121" type="#_x0000_t202" style="position:absolute;left:0;text-align:left;margin-left:2in;margin-top:6.2pt;width:314.95pt;height:219.05pt;z-index:251682816">
            <v:textbox>
              <w:txbxContent>
                <w:p w:rsidR="00000000" w:rsidRDefault="00913BEB">
                  <w:r>
                    <w:rPr>
                      <w:noProof/>
                    </w:rPr>
                    <w:drawing>
                      <wp:inline distT="0" distB="0" distL="0" distR="0">
                        <wp:extent cx="3810000" cy="2686050"/>
                        <wp:effectExtent l="19050" t="0" r="0" b="0"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b/>
          <w:bCs/>
          <w:i/>
          <w:iCs/>
          <w:sz w:val="28"/>
        </w:rPr>
        <w:t>E rendszerekben a</w:t>
      </w:r>
      <w:r>
        <w:rPr>
          <w:b/>
          <w:bCs/>
          <w:i/>
          <w:iCs/>
          <w:sz w:val="28"/>
        </w:rPr>
        <w:t>l</w:t>
      </w:r>
      <w:r>
        <w:rPr>
          <w:b/>
          <w:bCs/>
          <w:i/>
          <w:iCs/>
          <w:sz w:val="28"/>
        </w:rPr>
        <w:t>kalmazásra kerülhe</w:t>
      </w:r>
      <w:r>
        <w:rPr>
          <w:b/>
          <w:bCs/>
          <w:i/>
          <w:iCs/>
          <w:sz w:val="28"/>
        </w:rPr>
        <w:t>t</w:t>
      </w:r>
      <w:r>
        <w:rPr>
          <w:b/>
          <w:bCs/>
          <w:i/>
          <w:iCs/>
          <w:sz w:val="28"/>
        </w:rPr>
        <w:t xml:space="preserve">nek a BIOLÁNG által </w:t>
      </w:r>
      <w:r>
        <w:rPr>
          <w:b/>
          <w:bCs/>
          <w:i/>
          <w:iCs/>
          <w:sz w:val="28"/>
        </w:rPr>
        <w:t>gyártott kaz</w:t>
      </w:r>
      <w:r>
        <w:rPr>
          <w:b/>
          <w:bCs/>
          <w:i/>
          <w:iCs/>
          <w:sz w:val="28"/>
        </w:rPr>
        <w:t>á</w:t>
      </w:r>
      <w:r>
        <w:rPr>
          <w:b/>
          <w:bCs/>
          <w:i/>
          <w:iCs/>
          <w:sz w:val="28"/>
        </w:rPr>
        <w:t>nok</w:t>
      </w:r>
      <w:r>
        <w:rPr>
          <w:sz w:val="28"/>
        </w:rPr>
        <w:t>. Ezek lehetséges teljesítm</w:t>
      </w:r>
      <w:r>
        <w:rPr>
          <w:sz w:val="28"/>
        </w:rPr>
        <w:t>é</w:t>
      </w:r>
      <w:r>
        <w:rPr>
          <w:sz w:val="28"/>
        </w:rPr>
        <w:t>nye 400 – 5 000 kW. Alkalmasak szinte bárm</w:t>
      </w:r>
      <w:r>
        <w:rPr>
          <w:sz w:val="28"/>
        </w:rPr>
        <w:t>i</w:t>
      </w:r>
      <w:r>
        <w:rPr>
          <w:sz w:val="28"/>
        </w:rPr>
        <w:t>lyen tüzel</w:t>
      </w:r>
      <w:r>
        <w:rPr>
          <w:sz w:val="28"/>
        </w:rPr>
        <w:t>ő</w:t>
      </w:r>
      <w:r>
        <w:rPr>
          <w:sz w:val="28"/>
        </w:rPr>
        <w:t>anyag</w:t>
      </w:r>
      <w:r>
        <w:rPr>
          <w:rStyle w:val="Lbjegyzet-hivatkozs"/>
          <w:sz w:val="28"/>
        </w:rPr>
        <w:footnoteReference w:id="16"/>
      </w:r>
      <w:r>
        <w:rPr>
          <w:sz w:val="28"/>
        </w:rPr>
        <w:t>elégetésére megfelelő hatásfokkal, és emisszióval. E ren</w:t>
      </w:r>
      <w:r>
        <w:rPr>
          <w:sz w:val="28"/>
        </w:rPr>
        <w:t>d</w:t>
      </w:r>
      <w:r>
        <w:rPr>
          <w:sz w:val="28"/>
        </w:rPr>
        <w:t>szerben ilyen típusú kazánok alkalmazását akkor javasoljuk, ha: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 szükséges teljesítmény ezt i</w:t>
      </w:r>
      <w:r>
        <w:rPr>
          <w:sz w:val="28"/>
        </w:rPr>
        <w:t xml:space="preserve">ndokolja </w:t>
      </w: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Az alkalmazni kívánt tüzelőanyag apríték bála, vagy egyéb éghető hu</w:t>
      </w:r>
      <w:r>
        <w:rPr>
          <w:sz w:val="28"/>
        </w:rPr>
        <w:t>l</w:t>
      </w:r>
      <w:r>
        <w:rPr>
          <w:sz w:val="28"/>
        </w:rPr>
        <w:t xml:space="preserve">ladék anyag pl napraforgó héj stb. E kazánok automata tüzelőanyag adagolórendszere lehetővé teszi sok fajta tüzelőanyag alkalmazását.  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ind w:left="1416"/>
        <w:jc w:val="both"/>
        <w:rPr>
          <w:i/>
          <w:iCs/>
          <w:sz w:val="28"/>
        </w:rPr>
      </w:pPr>
      <w:r>
        <w:rPr>
          <w:i/>
          <w:iCs/>
          <w:sz w:val="28"/>
        </w:rPr>
        <w:t>A BIOLÁNG által gyártott kazánok fontos e</w:t>
      </w:r>
      <w:r>
        <w:rPr>
          <w:i/>
          <w:iCs/>
          <w:sz w:val="28"/>
        </w:rPr>
        <w:t>szközei a rendszerün</w:t>
      </w:r>
      <w:r>
        <w:rPr>
          <w:i/>
          <w:iCs/>
          <w:sz w:val="28"/>
        </w:rPr>
        <w:t>k</w:t>
      </w:r>
      <w:r>
        <w:rPr>
          <w:i/>
          <w:iCs/>
          <w:sz w:val="28"/>
        </w:rPr>
        <w:t>nek, de elsősorban nem ebben a csoportban. Ezek a kazánok – bár gyárt a cég pellet fűtésre is alkalmas kazánokat, azonban első so</w:t>
      </w:r>
      <w:r>
        <w:rPr>
          <w:i/>
          <w:iCs/>
          <w:sz w:val="28"/>
        </w:rPr>
        <w:t>r</w:t>
      </w:r>
      <w:r>
        <w:rPr>
          <w:i/>
          <w:iCs/>
          <w:sz w:val="28"/>
        </w:rPr>
        <w:t>ban nagyobb teljesítményre készülnek, fűtőművekhez, ahol inkább a bála, vagy apríték fűtés javasolható, m</w:t>
      </w:r>
      <w:r>
        <w:rPr>
          <w:i/>
          <w:iCs/>
          <w:sz w:val="28"/>
        </w:rPr>
        <w:t>ivel ez a fűtőanyag lényeg</w:t>
      </w:r>
      <w:r>
        <w:rPr>
          <w:i/>
          <w:iCs/>
          <w:sz w:val="28"/>
        </w:rPr>
        <w:t>e</w:t>
      </w:r>
      <w:r>
        <w:rPr>
          <w:i/>
          <w:iCs/>
          <w:sz w:val="28"/>
        </w:rPr>
        <w:t xml:space="preserve">sen olcsóbb a peletnél. 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b/>
          <w:bCs/>
          <w:sz w:val="28"/>
          <w:u w:val="single"/>
        </w:rPr>
      </w:pPr>
    </w:p>
    <w:p w:rsidR="00000000" w:rsidRDefault="00795E81">
      <w:pPr>
        <w:jc w:val="both"/>
        <w:rPr>
          <w:b/>
          <w:bCs/>
          <w:sz w:val="28"/>
          <w:u w:val="single"/>
        </w:rPr>
      </w:pPr>
    </w:p>
    <w:p w:rsidR="00000000" w:rsidRDefault="00795E81">
      <w:pPr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I./3 A beruházás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E típusú projekteknél a beruházás két alapvető részből áll. Az egyik a SZENTER technológia szerinti pellet üzem. A másik az önkormányzati inté</w:t>
      </w:r>
      <w:r>
        <w:rPr>
          <w:sz w:val="28"/>
        </w:rPr>
        <w:t>z</w:t>
      </w:r>
      <w:r>
        <w:rPr>
          <w:sz w:val="28"/>
        </w:rPr>
        <w:t>ményekben a kazánok cseréje, illetve ehh</w:t>
      </w:r>
      <w:r>
        <w:rPr>
          <w:sz w:val="28"/>
        </w:rPr>
        <w:t>ez kapcsolódó építészeti, illetve tec</w:t>
      </w:r>
      <w:r>
        <w:rPr>
          <w:sz w:val="28"/>
        </w:rPr>
        <w:t>h</w:t>
      </w:r>
      <w:r>
        <w:rPr>
          <w:sz w:val="28"/>
        </w:rPr>
        <w:t>nikai átalakítások. A pellet üzem berendezései és az alkalmazott technológia, közelítően mindenütt azonos. Az esetleges eltérő mennyiségek (2 – 4 000 to</w:t>
      </w:r>
      <w:r>
        <w:rPr>
          <w:sz w:val="28"/>
        </w:rPr>
        <w:t>n</w:t>
      </w:r>
      <w:r>
        <w:rPr>
          <w:sz w:val="28"/>
        </w:rPr>
        <w:t>na/év) gyakorlatilag a műszakszám változtatásával biztosítható. E</w:t>
      </w:r>
      <w:r>
        <w:rPr>
          <w:sz w:val="28"/>
        </w:rPr>
        <w:t>ltérést jelen</w:t>
      </w:r>
      <w:r>
        <w:rPr>
          <w:sz w:val="28"/>
        </w:rPr>
        <w:t>t</w:t>
      </w:r>
      <w:r>
        <w:rPr>
          <w:sz w:val="28"/>
        </w:rPr>
        <w:t>het a bekerülésben az, hogy új épületet kell- e az adott helyen építeni, vagy me</w:t>
      </w:r>
      <w:r>
        <w:rPr>
          <w:sz w:val="28"/>
        </w:rPr>
        <w:t>g</w:t>
      </w:r>
      <w:r>
        <w:rPr>
          <w:sz w:val="28"/>
        </w:rPr>
        <w:t>lévőt felújítani, illetve, a közművek mennyire kiépítettek.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Ennél lényegesen nagyobb mértékben térhetnek el az önkormányzati intézm</w:t>
      </w:r>
      <w:r>
        <w:rPr>
          <w:sz w:val="28"/>
        </w:rPr>
        <w:t>é</w:t>
      </w:r>
      <w:r>
        <w:rPr>
          <w:sz w:val="28"/>
        </w:rPr>
        <w:t>nyekben végzendő munkák. Mon</w:t>
      </w:r>
      <w:r>
        <w:rPr>
          <w:sz w:val="28"/>
        </w:rPr>
        <w:t>dhatjuk, hogy ez minden projektnél más lesz, hiszen a szükséges eszközök mindenütt különbözni fognak, és a kazánházak j</w:t>
      </w:r>
      <w:r>
        <w:rPr>
          <w:sz w:val="28"/>
        </w:rPr>
        <w:t>e</w:t>
      </w:r>
      <w:r>
        <w:rPr>
          <w:sz w:val="28"/>
        </w:rPr>
        <w:t>lenlegi állapota is mindenütt különbözik.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Az arányok érzékeltetésére legcélszerűbbnek tűnik, ha egy konkrét előkészítés alatt álló proj</w:t>
      </w:r>
      <w:r>
        <w:rPr>
          <w:sz w:val="28"/>
        </w:rPr>
        <w:t>ekt adatait ismertetjük: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pellet üzem beruházási költségei az előzetes tervek alapján:</w:t>
      </w:r>
    </w:p>
    <w:p w:rsidR="00000000" w:rsidRDefault="00795E81">
      <w:pPr>
        <w:jc w:val="both"/>
        <w:rPr>
          <w:sz w:val="28"/>
        </w:rPr>
      </w:pPr>
    </w:p>
    <w:tbl>
      <w:tblPr>
        <w:tblW w:w="8540" w:type="dxa"/>
        <w:tblCellMar>
          <w:left w:w="0" w:type="dxa"/>
          <w:right w:w="0" w:type="dxa"/>
        </w:tblCellMar>
        <w:tblLook w:val="0000"/>
      </w:tblPr>
      <w:tblGrid>
        <w:gridCol w:w="2911"/>
        <w:gridCol w:w="960"/>
        <w:gridCol w:w="1040"/>
        <w:gridCol w:w="909"/>
        <w:gridCol w:w="800"/>
        <w:gridCol w:w="940"/>
        <w:gridCol w:w="980"/>
      </w:tblGrid>
      <w:tr w:rsidR="00000000">
        <w:trPr>
          <w:trHeight w:val="345"/>
        </w:trPr>
        <w:tc>
          <w:tcPr>
            <w:tcW w:w="8540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pelletálló üzem objektumai és beruházási költsége</w:t>
            </w:r>
          </w:p>
        </w:tc>
      </w:tr>
      <w:tr w:rsidR="00000000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6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Bekerülés nettó összege Ft</w:t>
            </w:r>
          </w:p>
        </w:tc>
      </w:tr>
      <w:tr w:rsidR="00000000">
        <w:trPr>
          <w:trHeight w:val="480"/>
        </w:trPr>
        <w:tc>
          <w:tcPr>
            <w:tcW w:w="29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Megnevezés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Építés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Gép 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Berendezés</w:t>
            </w:r>
          </w:p>
        </w:tc>
        <w:tc>
          <w:tcPr>
            <w:tcW w:w="8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Szerelés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Egyéb</w:t>
            </w:r>
          </w:p>
        </w:tc>
        <w:tc>
          <w:tcPr>
            <w:tcW w:w="98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Összesen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600  m2 csarnok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24 000 0</w:t>
            </w:r>
            <w:r>
              <w:rPr>
                <w:rFonts w:ascii="Arial" w:hAnsi="Arial" w:cs="Arial"/>
                <w:sz w:val="16"/>
                <w:szCs w:val="16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1 000 000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Szociális  épület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Bálabontó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Daráló fémleválasztó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Pellettáló gép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Tartályok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Szál</w:t>
            </w:r>
            <w:r>
              <w:rPr>
                <w:rFonts w:ascii="Arial" w:hAnsi="Arial" w:cs="Arial"/>
                <w:sz w:val="16"/>
                <w:szCs w:val="16"/>
              </w:rPr>
              <w:t>litócsigák ventillátorok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Emelővillás targonca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Bálarakodó traktor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Tehergépkocsi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10 000 000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Villamos szerelés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1 000 000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Túzvédelem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1 000 000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1 550 000</w:t>
            </w:r>
          </w:p>
        </w:tc>
      </w:tr>
      <w:tr w:rsidR="00000000">
        <w:trPr>
          <w:trHeight w:val="285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Összesen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29 0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00 000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83 000 000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9 500 000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1 050 000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1 000 000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123 550 000</w:t>
            </w:r>
          </w:p>
        </w:tc>
      </w:tr>
    </w:tbl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Ezek a költségek nagyságrendileg nem változnak, hiszen minden ilyen projek</w:t>
      </w:r>
      <w:r>
        <w:rPr>
          <w:sz w:val="28"/>
        </w:rPr>
        <w:t>t</w:t>
      </w:r>
      <w:r>
        <w:rPr>
          <w:sz w:val="28"/>
        </w:rPr>
        <w:t>nél ugyanazt kell biztosítani. Ezek az üzemek úgy vannak méretezve, hogy amennyiben a helyi lakosság is megjelenik fogy</w:t>
      </w:r>
      <w:r>
        <w:rPr>
          <w:sz w:val="28"/>
        </w:rPr>
        <w:t>asztóként annak  ellátását is bi</w:t>
      </w:r>
      <w:r>
        <w:rPr>
          <w:sz w:val="28"/>
        </w:rPr>
        <w:t>z</w:t>
      </w:r>
      <w:r>
        <w:rPr>
          <w:sz w:val="28"/>
        </w:rPr>
        <w:t>tosítani tudja.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 xml:space="preserve">A konkrét „példaprojekt” esetében három önkormányzat társult, illetve lépett be a projekt cégbe. </w:t>
      </w:r>
      <w:r>
        <w:rPr>
          <w:sz w:val="28"/>
        </w:rPr>
        <w:t>A teljes beruházás részletei az előzetes mérnöki felmérés ala</w:t>
      </w:r>
      <w:r>
        <w:rPr>
          <w:sz w:val="28"/>
        </w:rPr>
        <w:t>p</w:t>
      </w:r>
      <w:r>
        <w:rPr>
          <w:sz w:val="28"/>
        </w:rPr>
        <w:t>ján a következő:</w:t>
      </w:r>
    </w:p>
    <w:tbl>
      <w:tblPr>
        <w:tblW w:w="9877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44"/>
        <w:gridCol w:w="960"/>
        <w:gridCol w:w="979"/>
        <w:gridCol w:w="1054"/>
        <w:gridCol w:w="800"/>
        <w:gridCol w:w="940"/>
        <w:gridCol w:w="980"/>
        <w:gridCol w:w="1220"/>
      </w:tblGrid>
      <w:tr w:rsidR="00000000">
        <w:trPr>
          <w:trHeight w:val="285"/>
        </w:trPr>
        <w:tc>
          <w:tcPr>
            <w:tcW w:w="294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Építés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Berend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zés</w:t>
            </w:r>
          </w:p>
        </w:tc>
        <w:tc>
          <w:tcPr>
            <w:tcW w:w="105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Szerelés</w:t>
            </w:r>
          </w:p>
        </w:tc>
        <w:tc>
          <w:tcPr>
            <w:tcW w:w="8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Kémény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Kazán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Vezeték</w:t>
            </w:r>
          </w:p>
        </w:tc>
        <w:tc>
          <w:tcPr>
            <w:tcW w:w="12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Összes</w:t>
            </w:r>
          </w:p>
        </w:tc>
      </w:tr>
      <w:tr w:rsidR="00000000">
        <w:trPr>
          <w:trHeight w:val="330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Iskola Anna-völgy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863 000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800 000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1 711 000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3 974 000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Egyéb </w:t>
            </w:r>
            <w:r>
              <w:rPr>
                <w:rFonts w:ascii="Arial" w:hAnsi="Arial" w:cs="Arial"/>
                <w:sz w:val="16"/>
                <w:szCs w:val="16"/>
              </w:rPr>
              <w:t>berendezés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608 000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608 000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Óvoda Anna-völgy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900 000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613 200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688 000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967 600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3 468 800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Egyéb berendezés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658 000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658 000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Polgármesteri Hivatal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350 000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1 055 400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1 521 000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1 711 </w:t>
            </w:r>
            <w:r>
              <w:rPr>
                <w:rFonts w:ascii="Arial" w:hAnsi="Arial" w:cs="Arial"/>
                <w:sz w:val="16"/>
                <w:szCs w:val="16"/>
              </w:rPr>
              <w:t>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4 937 400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Egyéb berendezés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808 000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808 000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Központi fűtés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3 280 000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3 280 000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Központi fűtőmű Bajna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2 100 000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2 800 000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5 185 000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1 100 000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14 679 600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25 864 600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Hővezeték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800 000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2 000 000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2 800 000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Egyéb ber</w:t>
            </w:r>
            <w:r>
              <w:rPr>
                <w:rFonts w:ascii="Arial" w:hAnsi="Arial" w:cs="Arial"/>
                <w:sz w:val="16"/>
                <w:szCs w:val="16"/>
              </w:rPr>
              <w:t>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2 448 000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2 448 000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Alkotóház Bajna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1 200 000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613 200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748 000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967 600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3 828 800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Egyéb berendezés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658 000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658 000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Polgármesteri Hivatal Bajna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550 000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1 055 400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946 000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 </w:t>
            </w:r>
            <w:r>
              <w:rPr>
                <w:rFonts w:ascii="Arial" w:hAnsi="Arial" w:cs="Arial"/>
                <w:sz w:val="16"/>
                <w:szCs w:val="16"/>
              </w:rPr>
              <w:t>711 000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4 562 400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Egyéb berendezés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1 116 000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1 116 000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Orvosi Rendelő Bajna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100 000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536 000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362 000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873 200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2 171 200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Védőnő-Fogorvos Bajna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200 000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536 000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512 000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873 200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2 421 200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Egyéb berendezés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658 000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658 000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Óvoda Bajna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1 600</w:t>
            </w:r>
            <w:r>
              <w:rPr>
                <w:sz w:val="16"/>
                <w:szCs w:val="16"/>
              </w:rPr>
              <w:t xml:space="preserve">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2 098 800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400 000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6 370 000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10 468 800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Kerítés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600 000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600 000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Egyéb berendezés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1 224 000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1 224 000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Sz.Adalbert Plébánia Bajna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461 600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771 000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1 478 000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3 310 600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Központi fűtés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350 000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350 000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Egyéb berendezés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866 000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866 000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Polgármesteri Hiv Úny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200 000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615 800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563 000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1 043 000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2 721 800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Egyéb berendezés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658 000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658 000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Művelődési Ház Úny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800 000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423 400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683 000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1 043 000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3 249 400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Központi fűtés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850 000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850 000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Orvosi Rend+Óvoda Úny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1 600 000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2 027 000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00 000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5 460 000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200 000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9 687 000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Hővezeték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60 000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60 000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Központi fűtés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1 400 000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1 400 000</w:t>
            </w:r>
          </w:p>
        </w:tc>
      </w:tr>
      <w:tr w:rsidR="00000000">
        <w:trPr>
          <w:trHeight w:val="255"/>
        </w:trPr>
        <w:tc>
          <w:tcPr>
            <w:tcW w:w="2944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Egyéb berendezés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1 016 000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1 016 000</w:t>
            </w:r>
          </w:p>
        </w:tc>
      </w:tr>
      <w:tr w:rsidR="00000000">
        <w:trPr>
          <w:trHeight w:val="315"/>
        </w:trPr>
        <w:tc>
          <w:tcPr>
            <w:tcW w:w="294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Is</w:t>
            </w:r>
            <w:r>
              <w:rPr>
                <w:b/>
                <w:bCs/>
                <w:sz w:val="16"/>
                <w:szCs w:val="16"/>
              </w:rPr>
              <w:t>kola Úny Kazánház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615 800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583 000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>300 000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1 043 000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2 841 800</w:t>
            </w:r>
          </w:p>
        </w:tc>
      </w:tr>
      <w:tr w:rsidR="00000000">
        <w:trPr>
          <w:trHeight w:val="270"/>
        </w:trPr>
        <w:tc>
          <w:tcPr>
            <w:tcW w:w="294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Egyéb berendezés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658 000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658 000</w:t>
            </w:r>
          </w:p>
        </w:tc>
      </w:tr>
      <w:tr w:rsidR="00000000">
        <w:trPr>
          <w:trHeight w:val="285"/>
        </w:trPr>
        <w:tc>
          <w:tcPr>
            <w:tcW w:w="294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Önkormányzatok összesen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12 826 000</w:t>
            </w:r>
          </w:p>
        </w:tc>
        <w:tc>
          <w:tcPr>
            <w:tcW w:w="97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20 698 800</w:t>
            </w:r>
          </w:p>
        </w:tc>
        <w:tc>
          <w:tcPr>
            <w:tcW w:w="105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23 367 800</w:t>
            </w:r>
          </w:p>
        </w:tc>
        <w:tc>
          <w:tcPr>
            <w:tcW w:w="8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5 200 000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39 931 200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2 200 000</w:t>
            </w:r>
          </w:p>
        </w:tc>
        <w:tc>
          <w:tcPr>
            <w:tcW w:w="12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104 223 800</w:t>
            </w:r>
          </w:p>
        </w:tc>
      </w:tr>
      <w:tr w:rsidR="00000000">
        <w:trPr>
          <w:trHeight w:val="285"/>
        </w:trPr>
        <w:tc>
          <w:tcPr>
            <w:tcW w:w="294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Pellet üze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29 000 000</w:t>
            </w:r>
          </w:p>
        </w:tc>
        <w:tc>
          <w:tcPr>
            <w:tcW w:w="9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92 500 000</w:t>
            </w:r>
          </w:p>
        </w:tc>
        <w:tc>
          <w:tcPr>
            <w:tcW w:w="10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2 050 000</w:t>
            </w:r>
          </w:p>
        </w:tc>
        <w:tc>
          <w:tcPr>
            <w:tcW w:w="8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123 550 000</w:t>
            </w:r>
          </w:p>
        </w:tc>
      </w:tr>
      <w:tr w:rsidR="00000000">
        <w:trPr>
          <w:trHeight w:val="285"/>
        </w:trPr>
        <w:tc>
          <w:tcPr>
            <w:tcW w:w="294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Mindösszesen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41 826 000</w:t>
            </w:r>
          </w:p>
        </w:tc>
        <w:tc>
          <w:tcPr>
            <w:tcW w:w="979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113 198 800</w:t>
            </w:r>
          </w:p>
        </w:tc>
        <w:tc>
          <w:tcPr>
            <w:tcW w:w="105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25 417 800</w:t>
            </w:r>
          </w:p>
        </w:tc>
        <w:tc>
          <w:tcPr>
            <w:tcW w:w="8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5 200 000</w:t>
            </w:r>
          </w:p>
        </w:tc>
        <w:tc>
          <w:tcPr>
            <w:tcW w:w="94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39 931 200</w:t>
            </w:r>
          </w:p>
        </w:tc>
        <w:tc>
          <w:tcPr>
            <w:tcW w:w="98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2 200 000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227 773 800</w:t>
            </w:r>
          </w:p>
        </w:tc>
      </w:tr>
      <w:tr w:rsidR="00000000">
        <w:trPr>
          <w:trHeight w:val="285"/>
        </w:trPr>
        <w:tc>
          <w:tcPr>
            <w:tcW w:w="294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Előkészítés elszámolható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14 538 753</w:t>
            </w:r>
          </w:p>
        </w:tc>
      </w:tr>
      <w:tr w:rsidR="00000000">
        <w:trPr>
          <w:trHeight w:val="285"/>
        </w:trPr>
        <w:tc>
          <w:tcPr>
            <w:tcW w:w="294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Elszámolható összesen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242 312 553</w:t>
            </w:r>
          </w:p>
        </w:tc>
      </w:tr>
      <w:tr w:rsidR="00000000">
        <w:trPr>
          <w:trHeight w:val="285"/>
        </w:trPr>
        <w:tc>
          <w:tcPr>
            <w:tcW w:w="294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Nem elszámolható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9 692 502</w:t>
            </w:r>
          </w:p>
        </w:tc>
      </w:tr>
      <w:tr w:rsidR="00000000">
        <w:trPr>
          <w:trHeight w:val="285"/>
        </w:trPr>
        <w:tc>
          <w:tcPr>
            <w:tcW w:w="294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Beruházás mindösszesen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252 005 055</w:t>
            </w:r>
          </w:p>
        </w:tc>
      </w:tr>
      <w:tr w:rsidR="00000000">
        <w:trPr>
          <w:trHeight w:val="285"/>
        </w:trPr>
        <w:tc>
          <w:tcPr>
            <w:tcW w:w="294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Beruházás mindösszesen bruttó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315 006 319</w:t>
            </w:r>
          </w:p>
        </w:tc>
      </w:tr>
    </w:tbl>
    <w:p w:rsidR="00000000" w:rsidRDefault="00795E81">
      <w:pPr>
        <w:jc w:val="both"/>
        <w:rPr>
          <w:sz w:val="28"/>
        </w:rPr>
      </w:pPr>
      <w:r>
        <w:rPr>
          <w:sz w:val="28"/>
        </w:rPr>
        <w:t>A beruházás anyag</w:t>
      </w:r>
      <w:r>
        <w:rPr>
          <w:sz w:val="28"/>
        </w:rPr>
        <w:t>i műszaki összetétele az alábbi:</w:t>
      </w:r>
    </w:p>
    <w:p w:rsidR="00000000" w:rsidRDefault="00795E81">
      <w:pPr>
        <w:jc w:val="both"/>
        <w:rPr>
          <w:sz w:val="28"/>
        </w:rPr>
      </w:pPr>
    </w:p>
    <w:p w:rsidR="00000000" w:rsidRDefault="00913BEB">
      <w:pPr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829300" cy="3562350"/>
            <wp:effectExtent l="0" t="0" r="0" b="0"/>
            <wp:docPr id="5" name="Objektu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>E típusú projekteknél a helyi sajátosságoktól függően a beruházás bekerülése 200-270 millió Ft között fog alakulni.</w:t>
      </w:r>
      <w:r>
        <w:rPr>
          <w:rStyle w:val="Lbjegyzet-hivatkozs"/>
          <w:sz w:val="28"/>
        </w:rPr>
        <w:footnoteReference w:id="17"/>
      </w:r>
      <w:r>
        <w:rPr>
          <w:sz w:val="28"/>
        </w:rPr>
        <w:t xml:space="preserve"> Ezt indokolja a jelenlegi támogatási rendszer, és a zavartalan üzemeltethető</w:t>
      </w:r>
      <w:r>
        <w:rPr>
          <w:sz w:val="28"/>
        </w:rPr>
        <w:t>ség is.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>Az önkormányzati rendszerek átalakítása során az arra törekszünk, hogy lehet</w:t>
      </w:r>
      <w:r>
        <w:rPr>
          <w:sz w:val="28"/>
        </w:rPr>
        <w:t>ő</w:t>
      </w:r>
      <w:r>
        <w:rPr>
          <w:sz w:val="28"/>
        </w:rPr>
        <w:t xml:space="preserve">leg mindenütt legyen akkora tüzelőanyag tárolótér, amely legalább két-három hónap tüzelőanyag szükségletének egyszerre való kiszállítását lehetővé teszi. Ezzel lényegesen </w:t>
      </w:r>
      <w:r>
        <w:rPr>
          <w:sz w:val="28"/>
        </w:rPr>
        <w:t>le lehet csökkenteni a logisztikai feladatokat.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Az eddigi projekteknél - és a következőknél is általános elvként ezt kívánjuk alkalmazni – a meglévő gázkazánok a rendszerben maradnak biztonsági célból. Bármilyen üzemzavar esetén ezek azonnal indíthatók.</w:t>
      </w:r>
      <w:r>
        <w:rPr>
          <w:rStyle w:val="Lbjegyzet-hivatkozs"/>
          <w:sz w:val="28"/>
        </w:rPr>
        <w:footnoteReference w:id="18"/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Valamennyi egységben hőmennyiségmérő műszereket szerelünk fel. Az önko</w:t>
      </w:r>
      <w:r>
        <w:rPr>
          <w:sz w:val="28"/>
        </w:rPr>
        <w:t>r</w:t>
      </w:r>
      <w:r>
        <w:rPr>
          <w:sz w:val="28"/>
        </w:rPr>
        <w:t>mányzat így csak a ténylegesen felhasznált hő után fizet. A fűtőanyag hőértékének változása tehát a projekt cég kockázata lesz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b/>
          <w:bCs/>
          <w:sz w:val="28"/>
          <w:u w:val="single"/>
        </w:rPr>
        <w:t>I./4 Üzemeltetés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 xml:space="preserve">A projekt cég átvesz üzemeltetésre az </w:t>
      </w:r>
      <w:r>
        <w:rPr>
          <w:sz w:val="28"/>
        </w:rPr>
        <w:t>önkormányzati intézmények teljes fűtési rendszerét, vagyis hőt fog szolgáltatni. Az üzemeltetés ebben az esetben két egymástól jól elkülöníthető munkafoly</w:t>
      </w:r>
      <w:r>
        <w:rPr>
          <w:sz w:val="28"/>
        </w:rPr>
        <w:t>a</w:t>
      </w:r>
      <w:r>
        <w:rPr>
          <w:sz w:val="28"/>
        </w:rPr>
        <w:t>matból áll:</w:t>
      </w: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 pelletgyártás</w:t>
      </w: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 fűtési rendszerek üzemeltetése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>Ebből következően a pelletgyártásban dol</w:t>
      </w:r>
      <w:r>
        <w:rPr>
          <w:sz w:val="28"/>
        </w:rPr>
        <w:t>gozók, és a fűtést biztosító dolgozók is a projekt cég alkalmazottai lesznek, bérköltségük a céget terheli csak úgy, mint a tüzelőanyag kiszállítása, a rendszer karbantartása, a hulladékkezelés, a kazánok elektromos áramfogyasztása, egyszóval valamennyi fű</w:t>
      </w:r>
      <w:r>
        <w:rPr>
          <w:sz w:val="28"/>
        </w:rPr>
        <w:t>téssel kapcsolatos költség.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>Mintaprojektünkben az üzemeltetés költségei a következőképpen alakulnak</w:t>
      </w:r>
    </w:p>
    <w:p w:rsidR="00000000" w:rsidRDefault="00795E81">
      <w:pPr>
        <w:ind w:left="708"/>
        <w:jc w:val="both"/>
        <w:rPr>
          <w:sz w:val="28"/>
        </w:rPr>
      </w:pPr>
    </w:p>
    <w:tbl>
      <w:tblPr>
        <w:tblW w:w="8740" w:type="dxa"/>
        <w:tblCellMar>
          <w:left w:w="0" w:type="dxa"/>
          <w:right w:w="0" w:type="dxa"/>
        </w:tblCellMar>
        <w:tblLook w:val="0000"/>
      </w:tblPr>
      <w:tblGrid>
        <w:gridCol w:w="3940"/>
        <w:gridCol w:w="1200"/>
        <w:gridCol w:w="1200"/>
        <w:gridCol w:w="1200"/>
        <w:gridCol w:w="1200"/>
      </w:tblGrid>
      <w:tr w:rsidR="00000000">
        <w:trPr>
          <w:trHeight w:val="345"/>
        </w:trPr>
        <w:tc>
          <w:tcPr>
            <w:tcW w:w="8740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Költségösszesítő Ft ban</w:t>
            </w:r>
          </w:p>
        </w:tc>
      </w:tr>
      <w:tr w:rsidR="00000000">
        <w:trPr>
          <w:trHeight w:val="540"/>
        </w:trPr>
        <w:tc>
          <w:tcPr>
            <w:tcW w:w="394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Költségelem</w:t>
            </w:r>
          </w:p>
        </w:tc>
        <w:tc>
          <w:tcPr>
            <w:tcW w:w="12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Éves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Havi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Élettartam alatt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Önköltség Ft/to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Bérköltség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16 524 000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1 377 000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165 240 000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5 457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Alapanyag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33 644 889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803 741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336 448 889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11 111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Elektromos Energia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18 147 500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1 512 292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181 475 000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5 993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Csomagoloanyag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4 239 256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353 271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42 392 560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1 400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Karbantartás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2 400 000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793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Anyagmozgatás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1 800 000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150 000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594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Közüzemi díjak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1 200 00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100 000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396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Igazgatás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2 400 000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793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Helyi adók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1 033 673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86 139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10 336 733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341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Szállítás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2 400 000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793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Egyéb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1 200 000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396</w:t>
            </w:r>
          </w:p>
        </w:tc>
      </w:tr>
      <w:tr w:rsidR="00000000">
        <w:trPr>
          <w:trHeight w:val="285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Költségek összesen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84 989 318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7 082 443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849 893 182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28 067</w:t>
            </w:r>
          </w:p>
        </w:tc>
      </w:tr>
    </w:tbl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noProof/>
          <w:sz w:val="20"/>
        </w:rPr>
        <w:pict>
          <v:shape id="_x0000_s1124" type="#_x0000_t202" style="position:absolute;left:0;text-align:left;margin-left:-9pt;margin-top:6.2pt;width:297pt;height:162.5pt;z-index:251684864">
            <v:textbox>
              <w:txbxContent>
                <w:tbl>
                  <w:tblPr>
                    <w:tblW w:w="557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739"/>
                    <w:gridCol w:w="704"/>
                    <w:gridCol w:w="845"/>
                    <w:gridCol w:w="1291"/>
                  </w:tblGrid>
                  <w:tr w:rsidR="00000000">
                    <w:trPr>
                      <w:trHeight w:val="285"/>
                    </w:trPr>
                    <w:tc>
                      <w:tcPr>
                        <w:tcW w:w="5579" w:type="dxa"/>
                        <w:gridSpan w:val="4"/>
                        <w:tcBorders>
                          <w:top w:val="double" w:sz="6" w:space="0" w:color="auto"/>
                          <w:left w:val="double" w:sz="6" w:space="0" w:color="auto"/>
                          <w:bottom w:val="double" w:sz="6" w:space="0" w:color="auto"/>
                          <w:right w:val="double" w:sz="6" w:space="0" w:color="000000"/>
                        </w:tcBorders>
                        <w:noWrap/>
                        <w:vAlign w:val="center"/>
                      </w:tcPr>
                      <w:p w:rsidR="00000000" w:rsidRDefault="00795E81">
                        <w:pPr>
                          <w:jc w:val="center"/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Munkabérek</w:t>
                        </w:r>
                      </w:p>
                    </w:tc>
                  </w:tr>
                  <w:tr w:rsidR="00000000">
                    <w:trPr>
                      <w:trHeight w:val="285"/>
                    </w:trPr>
                    <w:tc>
                      <w:tcPr>
                        <w:tcW w:w="2739" w:type="dxa"/>
                        <w:tcBorders>
                          <w:top w:val="nil"/>
                          <w:left w:val="double" w:sz="6" w:space="0" w:color="auto"/>
                          <w:bottom w:val="double" w:sz="6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/>
                          <w:left w:val="nil"/>
                          <w:bottom w:val="double" w:sz="6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center"/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Fő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double" w:sz="6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center"/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Ft/hó/fő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nil"/>
                          <w:left w:val="nil"/>
                          <w:bottom w:val="double" w:sz="6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center"/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Ft/év</w:t>
                        </w:r>
                      </w:p>
                    </w:tc>
                  </w:tr>
                  <w:tr w:rsidR="00000000">
                    <w:trPr>
                      <w:trHeight w:val="270"/>
                    </w:trPr>
                    <w:tc>
                      <w:tcPr>
                        <w:tcW w:w="2739" w:type="dxa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Ügyvezető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300 000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3 600 000</w:t>
                        </w:r>
                      </w:p>
                    </w:tc>
                  </w:tr>
                  <w:tr w:rsidR="00000000">
                    <w:trPr>
                      <w:trHeight w:val="255"/>
                    </w:trPr>
                    <w:tc>
                      <w:tcPr>
                        <w:tcW w:w="2739" w:type="dxa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Gépkezelő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90 000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3 240 000</w:t>
                        </w:r>
                      </w:p>
                    </w:tc>
                  </w:tr>
                  <w:tr w:rsidR="00000000">
                    <w:trPr>
                      <w:trHeight w:val="255"/>
                    </w:trPr>
                    <w:tc>
                      <w:tcPr>
                        <w:tcW w:w="2739" w:type="dxa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Rakodógép kezelő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90 000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1 080 000</w:t>
                        </w:r>
                      </w:p>
                    </w:tc>
                  </w:tr>
                  <w:tr w:rsidR="00000000">
                    <w:trPr>
                      <w:trHeight w:val="255"/>
                    </w:trPr>
                    <w:tc>
                      <w:tcPr>
                        <w:tcW w:w="2739" w:type="dxa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Csomagoló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90 000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2 160 000</w:t>
                        </w:r>
                      </w:p>
                    </w:tc>
                  </w:tr>
                  <w:tr w:rsidR="00000000">
                    <w:trPr>
                      <w:trHeight w:val="255"/>
                    </w:trPr>
                    <w:tc>
                      <w:tcPr>
                        <w:tcW w:w="2739" w:type="dxa"/>
                        <w:tcBorders>
                          <w:top w:val="nil"/>
                          <w:left w:val="double" w:sz="6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Fűtő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90 000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2 160 000</w:t>
                        </w:r>
                      </w:p>
                    </w:tc>
                  </w:tr>
                  <w:tr w:rsidR="00000000">
                    <w:trPr>
                      <w:trHeight w:val="285"/>
                    </w:trPr>
                    <w:tc>
                      <w:tcPr>
                        <w:tcW w:w="2739" w:type="dxa"/>
                        <w:tcBorders>
                          <w:top w:val="double" w:sz="6" w:space="0" w:color="auto"/>
                          <w:left w:val="double" w:sz="6" w:space="0" w:color="auto"/>
                          <w:bottom w:val="double" w:sz="6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Összesen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double" w:sz="6" w:space="0" w:color="auto"/>
                          <w:left w:val="nil"/>
                          <w:bottom w:val="double" w:sz="6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double" w:sz="6" w:space="0" w:color="auto"/>
                          <w:left w:val="nil"/>
                          <w:bottom w:val="double" w:sz="6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double" w:sz="6" w:space="0" w:color="auto"/>
                          <w:left w:val="nil"/>
                          <w:bottom w:val="double" w:sz="6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12 240 000</w:t>
                        </w:r>
                      </w:p>
                    </w:tc>
                  </w:tr>
                  <w:tr w:rsidR="00000000">
                    <w:trPr>
                      <w:trHeight w:val="285"/>
                    </w:trPr>
                    <w:tc>
                      <w:tcPr>
                        <w:tcW w:w="2739" w:type="dxa"/>
                        <w:tcBorders>
                          <w:top w:val="nil"/>
                          <w:left w:val="double" w:sz="6" w:space="0" w:color="auto"/>
                          <w:bottom w:val="nil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Bérjárulék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nil"/>
                          <w:left w:val="nil"/>
                          <w:bottom w:val="nil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4 284 000</w:t>
                        </w:r>
                      </w:p>
                    </w:tc>
                  </w:tr>
                  <w:tr w:rsidR="00000000">
                    <w:trPr>
                      <w:trHeight w:val="285"/>
                    </w:trPr>
                    <w:tc>
                      <w:tcPr>
                        <w:tcW w:w="2739" w:type="dxa"/>
                        <w:tcBorders>
                          <w:top w:val="double" w:sz="6" w:space="0" w:color="auto"/>
                          <w:left w:val="double" w:sz="6" w:space="0" w:color="auto"/>
                          <w:bottom w:val="double" w:sz="6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Bérköltség összes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en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double" w:sz="6" w:space="0" w:color="auto"/>
                          <w:left w:val="nil"/>
                          <w:bottom w:val="double" w:sz="6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double" w:sz="6" w:space="0" w:color="auto"/>
                          <w:left w:val="nil"/>
                          <w:bottom w:val="double" w:sz="6" w:space="0" w:color="auto"/>
                          <w:right w:val="single" w:sz="4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1291" w:type="dxa"/>
                        <w:tcBorders>
                          <w:top w:val="double" w:sz="6" w:space="0" w:color="auto"/>
                          <w:left w:val="nil"/>
                          <w:bottom w:val="double" w:sz="6" w:space="0" w:color="auto"/>
                          <w:right w:val="double" w:sz="6" w:space="0" w:color="auto"/>
                        </w:tcBorders>
                        <w:noWrap/>
                        <w:vAlign w:val="bottom"/>
                      </w:tcPr>
                      <w:p w:rsidR="00000000" w:rsidRDefault="00795E81">
                        <w:pPr>
                          <w:jc w:val="right"/>
                          <w:rPr>
                            <w:rFonts w:ascii="Arial" w:eastAsia="Arial Unicode MS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16 524 000</w:t>
                        </w:r>
                      </w:p>
                    </w:tc>
                  </w:tr>
                </w:tbl>
                <w:p w:rsidR="00000000" w:rsidRDefault="00795E81"/>
              </w:txbxContent>
            </v:textbox>
            <w10:wrap type="square"/>
          </v:shape>
        </w:pict>
      </w:r>
      <w:r>
        <w:rPr>
          <w:sz w:val="28"/>
        </w:rPr>
        <w:t>A költségek kalkulálásánál az alapanyag vásárlást 10 000 Ft/tonna értékkel sz</w:t>
      </w:r>
      <w:r>
        <w:rPr>
          <w:sz w:val="28"/>
        </w:rPr>
        <w:t>á</w:t>
      </w:r>
      <w:r>
        <w:rPr>
          <w:sz w:val="28"/>
        </w:rPr>
        <w:t>moltuk. Az elektromos energia felhasználását pellet tonnánként 120 kWh érté</w:t>
      </w:r>
      <w:r>
        <w:rPr>
          <w:sz w:val="28"/>
        </w:rPr>
        <w:t>k</w:t>
      </w:r>
      <w:r>
        <w:rPr>
          <w:sz w:val="28"/>
        </w:rPr>
        <w:t>kel vettük figyelembe, hozzáadva a kazánok elek</w:t>
      </w:r>
      <w:r>
        <w:rPr>
          <w:sz w:val="28"/>
        </w:rPr>
        <w:t>t</w:t>
      </w:r>
      <w:r>
        <w:rPr>
          <w:sz w:val="28"/>
        </w:rPr>
        <w:t>romos energia felhasznál</w:t>
      </w:r>
      <w:r>
        <w:rPr>
          <w:sz w:val="28"/>
        </w:rPr>
        <w:t>á</w:t>
      </w:r>
      <w:r>
        <w:rPr>
          <w:sz w:val="28"/>
        </w:rPr>
        <w:t>sát és 9 fő egész éves fo</w:t>
      </w:r>
      <w:r>
        <w:rPr>
          <w:sz w:val="28"/>
        </w:rPr>
        <w:t>g</w:t>
      </w:r>
      <w:r>
        <w:rPr>
          <w:sz w:val="28"/>
        </w:rPr>
        <w:t>lalkoztatását terveztük E három költség tétel, teszi ki a közvetlen költségek 81%-át. Az egyes költségel</w:t>
      </w:r>
      <w:r>
        <w:rPr>
          <w:sz w:val="28"/>
        </w:rPr>
        <w:t>e</w:t>
      </w:r>
      <w:r>
        <w:rPr>
          <w:sz w:val="28"/>
        </w:rPr>
        <w:t>meket vizsgálva látható, hogy a fűtéshez kapcsolódó költségek az összes költs</w:t>
      </w:r>
      <w:r>
        <w:rPr>
          <w:sz w:val="28"/>
        </w:rPr>
        <w:t>é</w:t>
      </w:r>
      <w:r>
        <w:rPr>
          <w:sz w:val="28"/>
        </w:rPr>
        <w:t>gen belül nem meghatározók. T</w:t>
      </w:r>
      <w:r>
        <w:rPr>
          <w:sz w:val="28"/>
        </w:rPr>
        <w:t>u</w:t>
      </w:r>
      <w:r>
        <w:rPr>
          <w:sz w:val="28"/>
        </w:rPr>
        <w:t>lajdonképpen csak a fűtők bére, és a pelle</w:t>
      </w:r>
      <w:r>
        <w:rPr>
          <w:sz w:val="28"/>
        </w:rPr>
        <w:t>t k</w:t>
      </w:r>
      <w:r>
        <w:rPr>
          <w:sz w:val="28"/>
        </w:rPr>
        <w:t>i</w:t>
      </w:r>
      <w:r>
        <w:rPr>
          <w:sz w:val="28"/>
        </w:rPr>
        <w:t>szállítása, valamint a kazánok elektromos energia fogyasztása az ami a fűtéssel közvetlenül összefügg.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  <w:r>
        <w:rPr>
          <w:noProof/>
          <w:sz w:val="20"/>
        </w:rPr>
        <w:pict>
          <v:shape id="_x0000_s1123" type="#_x0000_t202" style="position:absolute;left:0;text-align:left;margin-left:0;margin-top:-9pt;width:483.9pt;height:271.95pt;z-index:251683840">
            <v:textbox>
              <w:txbxContent>
                <w:p w:rsidR="00000000" w:rsidRDefault="00913BEB">
                  <w:r>
                    <w:rPr>
                      <w:noProof/>
                    </w:rPr>
                    <w:drawing>
                      <wp:inline distT="0" distB="0" distL="0" distR="0">
                        <wp:extent cx="5953125" cy="3352800"/>
                        <wp:effectExtent l="0" t="0" r="0" b="0"/>
                        <wp:docPr id="8" name="Objektu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I./5 Jövedelmek - megtakarítások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Esetünkben olyan rendszerről van szó, amelynek több résztvevője van, és nyílt.</w:t>
      </w:r>
      <w:r>
        <w:rPr>
          <w:rStyle w:val="Lbjegyzet-hivatkozs"/>
          <w:sz w:val="28"/>
        </w:rPr>
        <w:footnoteReference w:id="19"/>
      </w:r>
      <w:r>
        <w:rPr>
          <w:sz w:val="28"/>
        </w:rPr>
        <w:t>Ilyen típusú ren</w:t>
      </w:r>
      <w:r>
        <w:rPr>
          <w:sz w:val="28"/>
        </w:rPr>
        <w:t>dszer csak akkor működőképes, ha annak minden résztv</w:t>
      </w:r>
      <w:r>
        <w:rPr>
          <w:sz w:val="28"/>
        </w:rPr>
        <w:t>e</w:t>
      </w:r>
      <w:r>
        <w:rPr>
          <w:sz w:val="28"/>
        </w:rPr>
        <w:t>vője anyagilag is megtalálja a számítását. Nézzük ebben a konkrét esetben az egyes résztvevők milyen jövedelemhez, jutnak.</w:t>
      </w:r>
    </w:p>
    <w:p w:rsidR="00000000" w:rsidRDefault="00795E81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000000" w:rsidRDefault="00795E81">
      <w:pPr>
        <w:jc w:val="both"/>
        <w:rPr>
          <w:sz w:val="28"/>
          <w:u w:val="single"/>
        </w:rPr>
      </w:pPr>
      <w:r>
        <w:rPr>
          <w:sz w:val="28"/>
          <w:u w:val="single"/>
        </w:rPr>
        <w:t>I./5.1. Önkormányzati megtakarítás és bevételtöbblet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Esetünkben a három önko</w:t>
      </w:r>
      <w:r>
        <w:rPr>
          <w:sz w:val="28"/>
        </w:rPr>
        <w:t>r</w:t>
      </w:r>
      <w:r>
        <w:rPr>
          <w:sz w:val="28"/>
        </w:rPr>
        <w:t>mányzat a projekt cégbe összesen 5 millió Ft-al szállt be, ezzel 3,8%-os tulajdoni hányadot szerzett. Az általuk bevitt vagyonból azo</w:t>
      </w:r>
      <w:r>
        <w:rPr>
          <w:sz w:val="28"/>
        </w:rPr>
        <w:t>n</w:t>
      </w:r>
      <w:r>
        <w:rPr>
          <w:sz w:val="28"/>
        </w:rPr>
        <w:t>ban 3 millió Ft a</w:t>
      </w:r>
      <w:r>
        <w:rPr>
          <w:sz w:val="28"/>
        </w:rPr>
        <w:t>p</w:t>
      </w:r>
      <w:r>
        <w:rPr>
          <w:sz w:val="28"/>
        </w:rPr>
        <w:t>port.</w:t>
      </w:r>
      <w:r>
        <w:rPr>
          <w:rStyle w:val="Lbjegyzet-hivatkozs"/>
          <w:sz w:val="28"/>
        </w:rPr>
        <w:footnoteReference w:id="20"/>
      </w:r>
      <w:r>
        <w:rPr>
          <w:sz w:val="28"/>
        </w:rPr>
        <w:t>Ezen túl az önkormányzatok ingyenesen bérbe adták a projekt cégnek a kazánházakat. Ezzel szemben a</w:t>
      </w:r>
      <w:r>
        <w:rPr>
          <w:sz w:val="28"/>
        </w:rPr>
        <w:t xml:space="preserve"> megkötött </w:t>
      </w:r>
      <w:r>
        <w:rPr>
          <w:sz w:val="28"/>
        </w:rPr>
        <w:t>hővásárlási szerz</w:t>
      </w:r>
      <w:r>
        <w:rPr>
          <w:sz w:val="28"/>
        </w:rPr>
        <w:t>ő</w:t>
      </w:r>
      <w:r>
        <w:rPr>
          <w:sz w:val="28"/>
        </w:rPr>
        <w:t>désük alapján a t</w:t>
      </w:r>
      <w:r>
        <w:rPr>
          <w:sz w:val="28"/>
        </w:rPr>
        <w:t>o</w:t>
      </w:r>
      <w:r>
        <w:rPr>
          <w:sz w:val="28"/>
        </w:rPr>
        <w:t>vábbiakban a fűtésre felhasznált hőt – nettó értékben számolva – 20%-al kapják olcsóbban, mint a mindenkori gáz árral számított hő egységár.</w:t>
      </w:r>
      <w:r>
        <w:rPr>
          <w:rStyle w:val="Lbjegyzet-hivatkozs"/>
          <w:sz w:val="28"/>
        </w:rPr>
        <w:footnoteReference w:id="21"/>
      </w:r>
      <w:r>
        <w:rPr>
          <w:sz w:val="28"/>
        </w:rPr>
        <w:t xml:space="preserve"> Az önkormányzat azonban az ÁFÁT nem tudja visszaigényelni. Ebből az köve</w:t>
      </w:r>
      <w:r>
        <w:rPr>
          <w:sz w:val="28"/>
        </w:rPr>
        <w:t>t</w:t>
      </w:r>
      <w:r>
        <w:rPr>
          <w:sz w:val="28"/>
        </w:rPr>
        <w:t>kezik</w:t>
      </w:r>
      <w:r>
        <w:rPr>
          <w:sz w:val="28"/>
        </w:rPr>
        <w:t>, hogy valójában nála nem 20%-os megtakarítás jelentkezik. A megújuló energiahordozóból előállított hő ÁFÁJA ugyanis szemben a földgáz 25 % os Áfájával csak 5%. Így aztán valójában a megtakarítás 36,8%. További többlet az új cég által fizetett helyi adó.</w:t>
      </w:r>
      <w:r>
        <w:rPr>
          <w:rStyle w:val="Lbjegyzet-hivatkozs"/>
          <w:sz w:val="28"/>
        </w:rPr>
        <w:footnoteReference w:id="22"/>
      </w:r>
      <w:r>
        <w:rPr>
          <w:sz w:val="28"/>
        </w:rPr>
        <w:t xml:space="preserve"> </w:t>
      </w:r>
      <w:r>
        <w:rPr>
          <w:sz w:val="28"/>
        </w:rPr>
        <w:t>További nem számszerűsített előny a foglalko</w:t>
      </w:r>
      <w:r>
        <w:rPr>
          <w:sz w:val="28"/>
        </w:rPr>
        <w:t>z</w:t>
      </w:r>
      <w:r>
        <w:rPr>
          <w:sz w:val="28"/>
        </w:rPr>
        <w:t>t</w:t>
      </w:r>
      <w:r>
        <w:rPr>
          <w:sz w:val="28"/>
        </w:rPr>
        <w:t>a</w:t>
      </w:r>
      <w:r>
        <w:rPr>
          <w:sz w:val="28"/>
        </w:rPr>
        <w:t>tás növekedése. Összegezve az önkormányzatok évi „nyeresége” ezen a vá</w:t>
      </w:r>
      <w:r>
        <w:rPr>
          <w:sz w:val="28"/>
        </w:rPr>
        <w:t>l</w:t>
      </w:r>
      <w:r>
        <w:rPr>
          <w:sz w:val="28"/>
        </w:rPr>
        <w:t>toztatáson a következő:</w:t>
      </w:r>
    </w:p>
    <w:p w:rsidR="00000000" w:rsidRDefault="00795E81">
      <w:pPr>
        <w:ind w:left="708"/>
        <w:jc w:val="both"/>
        <w:rPr>
          <w:sz w:val="28"/>
        </w:rPr>
      </w:pPr>
    </w:p>
    <w:tbl>
      <w:tblPr>
        <w:tblpPr w:leftFromText="141" w:rightFromText="141" w:vertAnchor="text" w:horzAnchor="margin" w:tblpXSpec="center" w:tblpY="-64"/>
        <w:tblW w:w="5700" w:type="dxa"/>
        <w:tblCellMar>
          <w:left w:w="0" w:type="dxa"/>
          <w:right w:w="0" w:type="dxa"/>
        </w:tblCellMar>
        <w:tblLook w:val="0000"/>
      </w:tblPr>
      <w:tblGrid>
        <w:gridCol w:w="2496"/>
        <w:gridCol w:w="1539"/>
        <w:gridCol w:w="1665"/>
      </w:tblGrid>
      <w:tr w:rsidR="00000000">
        <w:trPr>
          <w:trHeight w:val="285"/>
        </w:trPr>
        <w:tc>
          <w:tcPr>
            <w:tcW w:w="57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fűtés eredménye az önkormányzatoknál Ft</w:t>
            </w:r>
          </w:p>
        </w:tc>
      </w:tr>
      <w:tr w:rsidR="00000000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Nettó érték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Bruttó érték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Gázfűtéssel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20 511 953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25 639 941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Biomass</w:t>
            </w:r>
            <w:r>
              <w:rPr>
                <w:rFonts w:ascii="Arial" w:hAnsi="Arial" w:cs="Arial"/>
                <w:sz w:val="20"/>
                <w:szCs w:val="20"/>
              </w:rPr>
              <w:t>za fűtéssel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16 409 562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17 230 040</w:t>
            </w:r>
          </w:p>
        </w:tc>
      </w:tr>
      <w:tr w:rsidR="00000000">
        <w:trPr>
          <w:trHeight w:val="345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Megtakarítás a fűtésnél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8 409 901</w:t>
            </w:r>
          </w:p>
        </w:tc>
      </w:tr>
      <w:tr w:rsidR="00000000">
        <w:trPr>
          <w:trHeight w:val="345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Helyi adó többlet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1 033 673</w:t>
            </w:r>
          </w:p>
        </w:tc>
      </w:tr>
      <w:tr w:rsidR="00000000">
        <w:trPr>
          <w:trHeight w:val="345"/>
        </w:trPr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Összes eredmény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00"/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9 443 574</w:t>
            </w:r>
          </w:p>
        </w:tc>
      </w:tr>
    </w:tbl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Látható, hogy az apportot is számítva 5 millió forint egyszeri befektetéssel</w:t>
      </w:r>
      <w:r>
        <w:rPr>
          <w:rStyle w:val="Lbjegyzet-hivatkozs"/>
          <w:sz w:val="28"/>
        </w:rPr>
        <w:footnoteReference w:id="23"/>
      </w:r>
      <w:r>
        <w:rPr>
          <w:sz w:val="28"/>
        </w:rPr>
        <w:t>9,4 millió Ft jövedelem (megtakarítás) áll s</w:t>
      </w:r>
      <w:r>
        <w:rPr>
          <w:sz w:val="28"/>
        </w:rPr>
        <w:t>zemben. A továbbiakban a bevitt vagyon arányában még a cég által produkált eredményből is részesül. (Osztalék)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jc w:val="both"/>
        <w:rPr>
          <w:sz w:val="28"/>
          <w:u w:val="single"/>
        </w:rPr>
      </w:pPr>
      <w:r>
        <w:rPr>
          <w:sz w:val="28"/>
          <w:u w:val="single"/>
        </w:rPr>
        <w:t>I./5.2. Az alapanyag beszállítók jövedelmei</w:t>
      </w:r>
    </w:p>
    <w:p w:rsidR="00000000" w:rsidRDefault="00795E81">
      <w:pPr>
        <w:ind w:left="708"/>
        <w:jc w:val="both"/>
        <w:rPr>
          <w:sz w:val="28"/>
        </w:rPr>
      </w:pPr>
    </w:p>
    <w:tbl>
      <w:tblPr>
        <w:tblpPr w:leftFromText="141" w:rightFromText="141" w:vertAnchor="text" w:horzAnchor="margin" w:tblpY="2486"/>
        <w:tblW w:w="5620" w:type="dxa"/>
        <w:tblCellMar>
          <w:left w:w="0" w:type="dxa"/>
          <w:right w:w="0" w:type="dxa"/>
        </w:tblCellMar>
        <w:tblLook w:val="0000"/>
      </w:tblPr>
      <w:tblGrid>
        <w:gridCol w:w="3500"/>
        <w:gridCol w:w="1060"/>
        <w:gridCol w:w="1060"/>
      </w:tblGrid>
      <w:tr w:rsidR="00000000">
        <w:trPr>
          <w:trHeight w:val="285"/>
        </w:trPr>
        <w:tc>
          <w:tcPr>
            <w:tcW w:w="5620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Az alapanyag beszállítók jövedelme</w:t>
            </w:r>
          </w:p>
        </w:tc>
      </w:tr>
      <w:tr w:rsidR="00000000">
        <w:trPr>
          <w:trHeight w:val="540"/>
        </w:trPr>
        <w:tc>
          <w:tcPr>
            <w:tcW w:w="35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Költségtételek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Ft/to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3300 to</w:t>
            </w: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nára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Üzemanyag Ft/to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4 821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15 910</w:t>
            </w:r>
            <w:r>
              <w:rPr>
                <w:rFonts w:ascii="Arial" w:hAnsi="Arial" w:hint="eastAsia"/>
                <w:sz w:val="20"/>
                <w:szCs w:val="20"/>
              </w:rPr>
              <w:t xml:space="preserve"> 714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Amortizáció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2 743 125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Munkabér 3 fővel számolva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2 072 813</w:t>
            </w:r>
          </w:p>
        </w:tc>
      </w:tr>
      <w:tr w:rsidR="00000000">
        <w:trPr>
          <w:trHeight w:val="25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Általános költség (közv költség 20%-a)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1 256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4 145 330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Helyi adó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sz w:val="20"/>
                <w:szCs w:val="20"/>
              </w:rPr>
            </w:pPr>
            <w:r>
              <w:rPr>
                <w:rFonts w:ascii="Arial" w:hAnsi="Arial" w:hint="eastAsia"/>
                <w:sz w:val="20"/>
                <w:szCs w:val="20"/>
              </w:rPr>
              <w:t>660 000</w:t>
            </w:r>
          </w:p>
        </w:tc>
      </w:tr>
      <w:tr w:rsidR="00000000">
        <w:trPr>
          <w:trHeight w:val="285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Összes költség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7 737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25 531 982</w:t>
            </w:r>
          </w:p>
        </w:tc>
      </w:tr>
      <w:tr w:rsidR="00000000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Értékesítési ár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10 000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33 000 000</w:t>
            </w:r>
          </w:p>
        </w:tc>
      </w:tr>
      <w:tr w:rsidR="00000000">
        <w:trPr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Eredmény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2 263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 Unicode MS"/>
                <w:b/>
                <w:bCs/>
                <w:sz w:val="20"/>
                <w:szCs w:val="20"/>
              </w:rPr>
            </w:pPr>
            <w:r>
              <w:rPr>
                <w:rFonts w:ascii="Arial" w:hAnsi="Arial" w:hint="eastAsia"/>
                <w:b/>
                <w:bCs/>
                <w:sz w:val="20"/>
                <w:szCs w:val="20"/>
              </w:rPr>
              <w:t>7 468 018</w:t>
            </w:r>
          </w:p>
        </w:tc>
      </w:tr>
    </w:tbl>
    <w:p w:rsidR="00000000" w:rsidRDefault="00795E81">
      <w:pPr>
        <w:jc w:val="both"/>
        <w:rPr>
          <w:sz w:val="28"/>
        </w:rPr>
      </w:pPr>
      <w:r>
        <w:rPr>
          <w:sz w:val="28"/>
        </w:rPr>
        <w:t>A pelletg</w:t>
      </w:r>
      <w:r>
        <w:rPr>
          <w:sz w:val="28"/>
        </w:rPr>
        <w:t>yártás alapanyaga elsődlegesen mezőgazdasági melléktermék, amelyet eddig nem használtak fel, tehát nem értékesült. Ebből következik, hogy költsé</w:t>
      </w:r>
      <w:r>
        <w:rPr>
          <w:sz w:val="28"/>
        </w:rPr>
        <w:t>g</w:t>
      </w:r>
      <w:r>
        <w:rPr>
          <w:sz w:val="28"/>
        </w:rPr>
        <w:t>ként csak azt lehet számolni, ami a betakarításával, tárolásával, beszállításával kapcsolatban felmerül. A költ</w:t>
      </w:r>
      <w:r>
        <w:rPr>
          <w:sz w:val="28"/>
        </w:rPr>
        <w:t>ségkalkulációnál abból indultunk ki, hogy a mez</w:t>
      </w:r>
      <w:r>
        <w:rPr>
          <w:sz w:val="28"/>
        </w:rPr>
        <w:t>ő</w:t>
      </w:r>
      <w:r>
        <w:rPr>
          <w:sz w:val="28"/>
        </w:rPr>
        <w:t>gazdasági üzemnek a betakarításhoz szükséges eszközei (bálázók, rakodók, stb.) megvannak, azokat</w:t>
      </w:r>
      <w:r>
        <w:rPr>
          <w:rStyle w:val="Lbjegyzet-hivatkozs"/>
          <w:sz w:val="28"/>
        </w:rPr>
        <w:footnoteReference w:id="24"/>
      </w:r>
      <w:r>
        <w:rPr>
          <w:sz w:val="28"/>
        </w:rPr>
        <w:t>használja. A többlet használat azonban költségekkel jár. Figyelembe véve e gépek teljesítmény adatait. Az esetü</w:t>
      </w:r>
      <w:r>
        <w:rPr>
          <w:sz w:val="28"/>
        </w:rPr>
        <w:t>nkbe szükséges termé</w:t>
      </w:r>
      <w:r>
        <w:rPr>
          <w:sz w:val="28"/>
        </w:rPr>
        <w:t>k</w:t>
      </w:r>
      <w:r>
        <w:rPr>
          <w:sz w:val="28"/>
        </w:rPr>
        <w:t>mennyiség betakarításához 300 (gépsor) üzemóra szü</w:t>
      </w:r>
      <w:r>
        <w:rPr>
          <w:sz w:val="28"/>
        </w:rPr>
        <w:t>k</w:t>
      </w:r>
      <w:r>
        <w:rPr>
          <w:sz w:val="28"/>
        </w:rPr>
        <w:t>séges. A 10 000 Ft/tonna alapanyag felvásárlási ár, közelítően 20%-os nyeresé</w:t>
      </w:r>
      <w:r>
        <w:rPr>
          <w:sz w:val="28"/>
        </w:rPr>
        <w:t>g</w:t>
      </w:r>
      <w:r>
        <w:rPr>
          <w:sz w:val="28"/>
        </w:rPr>
        <w:t>hányadot biztosít a mez</w:t>
      </w:r>
      <w:r>
        <w:rPr>
          <w:sz w:val="28"/>
        </w:rPr>
        <w:t>ő</w:t>
      </w:r>
      <w:r>
        <w:rPr>
          <w:sz w:val="28"/>
        </w:rPr>
        <w:t>gazd</w:t>
      </w:r>
      <w:r>
        <w:rPr>
          <w:sz w:val="28"/>
        </w:rPr>
        <w:t>a</w:t>
      </w:r>
      <w:r>
        <w:rPr>
          <w:sz w:val="28"/>
        </w:rPr>
        <w:t>sági üzemnek. Ez a nyer</w:t>
      </w:r>
      <w:r>
        <w:rPr>
          <w:sz w:val="28"/>
        </w:rPr>
        <w:t>e</w:t>
      </w:r>
      <w:r>
        <w:rPr>
          <w:sz w:val="28"/>
        </w:rPr>
        <w:t>ségszint meghaladja a legtöbb üzemnél, az üzemi átlag</w:t>
      </w:r>
      <w:r>
        <w:rPr>
          <w:sz w:val="28"/>
        </w:rPr>
        <w:t>ot. Az eszközökkel re</w:t>
      </w:r>
      <w:r>
        <w:rPr>
          <w:sz w:val="28"/>
        </w:rPr>
        <w:t>n</w:t>
      </w:r>
      <w:r>
        <w:rPr>
          <w:sz w:val="28"/>
        </w:rPr>
        <w:t>delkező üzemnek az is me</w:t>
      </w:r>
      <w:r>
        <w:rPr>
          <w:sz w:val="28"/>
        </w:rPr>
        <w:t>g</w:t>
      </w:r>
      <w:r>
        <w:rPr>
          <w:sz w:val="28"/>
        </w:rPr>
        <w:t>éri, ha a terméket „lábon” illetve tarlón megvegye, és azt bálázva értékesítse. Az alapanyag betakarítási önköltségének legnagyobb tétele az üzemanyag. Ebből k</w:t>
      </w:r>
      <w:r>
        <w:rPr>
          <w:sz w:val="28"/>
        </w:rPr>
        <w:t>ö</w:t>
      </w:r>
      <w:r>
        <w:rPr>
          <w:sz w:val="28"/>
        </w:rPr>
        <w:t>vetkezik, hogy az alapanyag ára érzékenyen fog re</w:t>
      </w:r>
      <w:r>
        <w:rPr>
          <w:sz w:val="28"/>
        </w:rPr>
        <w:t>agálni az üzemanyagok árváltozására. Mivel a beszállítási szerződés hosszú távra szól, nyilván abban rögzíteni kell, hogy az árváltozás milyen mértékbe módosítja az alapanyag átvételi árat.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  <w:u w:val="single"/>
        </w:rPr>
      </w:pPr>
      <w:r>
        <w:rPr>
          <w:sz w:val="28"/>
          <w:u w:val="single"/>
        </w:rPr>
        <w:t>I./5.3 Jövedelem a projekt cégnél.</w:t>
      </w:r>
    </w:p>
    <w:p w:rsidR="00000000" w:rsidRDefault="00795E81">
      <w:pPr>
        <w:jc w:val="both"/>
        <w:rPr>
          <w:sz w:val="28"/>
          <w:u w:val="single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 xml:space="preserve">A projekt cégnél a jövedelem </w:t>
      </w:r>
      <w:r>
        <w:rPr>
          <w:sz w:val="28"/>
        </w:rPr>
        <w:t>egyrészt a hő értékesítésből, másrészt a pellet é</w:t>
      </w:r>
      <w:r>
        <w:rPr>
          <w:sz w:val="28"/>
        </w:rPr>
        <w:t>r</w:t>
      </w:r>
      <w:r>
        <w:rPr>
          <w:sz w:val="28"/>
        </w:rPr>
        <w:t>tékesítéséből keletkezik. A hő értékesítésnél a gáz árhoz viszonyított 20%-os kedvezményt vettük figyelembe, a pellet értékesítésnél pedig a jelenlegi piaci áraknál kicsit alacsonyabb értékkel kalkuláltunk.</w:t>
      </w:r>
      <w:r>
        <w:rPr>
          <w:rStyle w:val="Lbjegyzet-hivatkozs"/>
          <w:sz w:val="28"/>
        </w:rPr>
        <w:footnoteReference w:id="25"/>
      </w:r>
      <w:r>
        <w:rPr>
          <w:sz w:val="28"/>
        </w:rPr>
        <w:t xml:space="preserve"> A mintaprojektünk esetében az évi 3 000 tonna előállított pelletből 375 tonnát használ el hőszolgáltatáshoz és 2 625 tonnát, értékesít.</w:t>
      </w:r>
    </w:p>
    <w:p w:rsidR="00000000" w:rsidRDefault="00795E81">
      <w:pPr>
        <w:jc w:val="both"/>
        <w:rPr>
          <w:sz w:val="28"/>
        </w:rPr>
      </w:pPr>
    </w:p>
    <w:tbl>
      <w:tblPr>
        <w:tblW w:w="6182" w:type="dxa"/>
        <w:tblInd w:w="14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32"/>
        <w:gridCol w:w="1178"/>
        <w:gridCol w:w="1044"/>
        <w:gridCol w:w="1248"/>
        <w:gridCol w:w="1080"/>
      </w:tblGrid>
      <w:tr w:rsidR="00000000">
        <w:trPr>
          <w:trHeight w:val="285"/>
        </w:trPr>
        <w:tc>
          <w:tcPr>
            <w:tcW w:w="6182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projekt cég jövedelme</w:t>
            </w:r>
          </w:p>
        </w:tc>
      </w:tr>
      <w:tr w:rsidR="00000000">
        <w:trPr>
          <w:cantSplit/>
          <w:trHeight w:val="270"/>
        </w:trPr>
        <w:tc>
          <w:tcPr>
            <w:tcW w:w="1632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tevékenység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Árbevétel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Önköltség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Jövedelem</w:t>
            </w:r>
          </w:p>
        </w:tc>
        <w:tc>
          <w:tcPr>
            <w:tcW w:w="108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Jövede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mez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ő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ségi %</w:t>
            </w:r>
          </w:p>
        </w:tc>
      </w:tr>
      <w:tr w:rsidR="00000000">
        <w:trPr>
          <w:cantSplit/>
          <w:trHeight w:val="330"/>
        </w:trPr>
        <w:tc>
          <w:tcPr>
            <w:tcW w:w="1632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 o r i n t</w:t>
            </w:r>
          </w:p>
        </w:tc>
        <w:tc>
          <w:tcPr>
            <w:tcW w:w="108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</w:tr>
      <w:tr w:rsidR="00000000">
        <w:trPr>
          <w:trHeight w:val="270"/>
        </w:trPr>
        <w:tc>
          <w:tcPr>
            <w:tcW w:w="1632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Hőszolgáltatás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27 349 271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17 553 327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9 795 944</w:t>
            </w:r>
          </w:p>
        </w:tc>
        <w:tc>
          <w:tcPr>
            <w:tcW w:w="108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35,82</w:t>
            </w:r>
          </w:p>
        </w:tc>
      </w:tr>
      <w:tr w:rsidR="00000000">
        <w:trPr>
          <w:trHeight w:val="270"/>
        </w:trPr>
        <w:tc>
          <w:tcPr>
            <w:tcW w:w="1632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Pellet értékesítés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83 125 000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66 702 641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16 422 359</w:t>
            </w:r>
          </w:p>
        </w:tc>
        <w:tc>
          <w:tcPr>
            <w:tcW w:w="108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19,76</w:t>
            </w:r>
          </w:p>
        </w:tc>
      </w:tr>
      <w:tr w:rsidR="00000000">
        <w:trPr>
          <w:trHeight w:val="285"/>
        </w:trPr>
        <w:tc>
          <w:tcPr>
            <w:tcW w:w="16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Összesen</w:t>
            </w:r>
          </w:p>
        </w:tc>
        <w:tc>
          <w:tcPr>
            <w:tcW w:w="117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110 474 271</w:t>
            </w:r>
          </w:p>
        </w:tc>
        <w:tc>
          <w:tcPr>
            <w:tcW w:w="10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84 255 968</w:t>
            </w:r>
          </w:p>
        </w:tc>
        <w:tc>
          <w:tcPr>
            <w:tcW w:w="1248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26 218 303</w:t>
            </w:r>
          </w:p>
        </w:tc>
        <w:tc>
          <w:tcPr>
            <w:tcW w:w="10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23,73</w:t>
            </w:r>
          </w:p>
        </w:tc>
      </w:tr>
    </w:tbl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projekt cégnél a hőszolgáltatás jövedelmezősége majd kétszerese a pellet é</w:t>
      </w:r>
      <w:r>
        <w:rPr>
          <w:sz w:val="28"/>
        </w:rPr>
        <w:t>r</w:t>
      </w:r>
      <w:r>
        <w:rPr>
          <w:sz w:val="28"/>
        </w:rPr>
        <w:t>tékesítésnek. Ebből következi</w:t>
      </w:r>
      <w:r>
        <w:rPr>
          <w:sz w:val="28"/>
        </w:rPr>
        <w:t>k, hogy ahhoz fűződik érdekeltsége, hogy a term</w:t>
      </w:r>
      <w:r>
        <w:rPr>
          <w:sz w:val="28"/>
        </w:rPr>
        <w:t>e</w:t>
      </w:r>
      <w:r>
        <w:rPr>
          <w:sz w:val="28"/>
        </w:rPr>
        <w:t>lésének minél nagyobb hányadát hőként értékesítse. Ez egy látszólagos ellen</w:t>
      </w:r>
      <w:r>
        <w:rPr>
          <w:sz w:val="28"/>
        </w:rPr>
        <w:t>t</w:t>
      </w:r>
      <w:r>
        <w:rPr>
          <w:sz w:val="28"/>
        </w:rPr>
        <w:t>mondás, hiszen a hőszolgáltatásban 1 kg pellet közel 44 Ft -al értékesül. Figy</w:t>
      </w:r>
      <w:r>
        <w:rPr>
          <w:sz w:val="28"/>
        </w:rPr>
        <w:t>e</w:t>
      </w:r>
      <w:r>
        <w:rPr>
          <w:sz w:val="28"/>
        </w:rPr>
        <w:t>lembe kell azonban venni, hogy a pellet fűtést lehető</w:t>
      </w:r>
      <w:r>
        <w:rPr>
          <w:sz w:val="28"/>
        </w:rPr>
        <w:t>vé tevő beruházást a fe</w:t>
      </w:r>
      <w:r>
        <w:rPr>
          <w:sz w:val="28"/>
        </w:rPr>
        <w:t>l</w:t>
      </w:r>
      <w:r>
        <w:rPr>
          <w:sz w:val="28"/>
        </w:rPr>
        <w:t>használónál a projekt cég végezte el, és annak fenntartásáról is ő gondoskodik.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ind w:left="1416"/>
        <w:jc w:val="both"/>
        <w:rPr>
          <w:i/>
          <w:iCs/>
          <w:sz w:val="28"/>
          <w:u w:val="single"/>
        </w:rPr>
      </w:pPr>
      <w:r>
        <w:rPr>
          <w:i/>
          <w:iCs/>
          <w:sz w:val="28"/>
          <w:u w:val="single"/>
        </w:rPr>
        <w:t>Közbeeső megjegyzés</w:t>
      </w:r>
    </w:p>
    <w:p w:rsidR="00000000" w:rsidRDefault="00795E81">
      <w:pPr>
        <w:ind w:left="1416"/>
        <w:jc w:val="both"/>
        <w:rPr>
          <w:b/>
          <w:bCs/>
          <w:i/>
          <w:iCs/>
          <w:sz w:val="28"/>
          <w:u w:val="double"/>
        </w:rPr>
      </w:pPr>
      <w:r>
        <w:rPr>
          <w:i/>
          <w:iCs/>
          <w:sz w:val="28"/>
        </w:rPr>
        <w:t>A számadatokból az is következhetne, hogy célszerű lenne olyan projekteket szervezni, ahol a teljes pellet termeléssel hőszolgáltat</w:t>
      </w:r>
      <w:r>
        <w:rPr>
          <w:i/>
          <w:iCs/>
          <w:sz w:val="28"/>
        </w:rPr>
        <w:t>ást végeznek. Nem szabad megfeledkezni arról, hogy mintaprojektün</w:t>
      </w:r>
      <w:r>
        <w:rPr>
          <w:i/>
          <w:iCs/>
          <w:sz w:val="28"/>
        </w:rPr>
        <w:t>k</w:t>
      </w:r>
      <w:r>
        <w:rPr>
          <w:i/>
          <w:iCs/>
          <w:sz w:val="28"/>
        </w:rPr>
        <w:t>ben a projekt cég az önkormányzatoknál 104 millió Ft-ot ruházott be. Ha ezt extrapoláljuk a teljes mennyiségre, akkor látható, hogy 834millió forint beruházásra lenne szükség. Ebben az estbe</w:t>
      </w:r>
      <w:r>
        <w:rPr>
          <w:i/>
          <w:iCs/>
          <w:sz w:val="28"/>
        </w:rPr>
        <w:t>n – f</w:t>
      </w:r>
      <w:r>
        <w:rPr>
          <w:i/>
          <w:iCs/>
          <w:sz w:val="28"/>
        </w:rPr>
        <w:t>i</w:t>
      </w:r>
      <w:r>
        <w:rPr>
          <w:i/>
          <w:iCs/>
          <w:sz w:val="28"/>
        </w:rPr>
        <w:t>gyelembe véve a többlet munkabért, és szállítást a jelenlegi 26 mi</w:t>
      </w:r>
      <w:r>
        <w:rPr>
          <w:i/>
          <w:iCs/>
          <w:sz w:val="28"/>
        </w:rPr>
        <w:t>l</w:t>
      </w:r>
      <w:r>
        <w:rPr>
          <w:i/>
          <w:iCs/>
          <w:sz w:val="28"/>
        </w:rPr>
        <w:t>lió forinttal szemben csak 41 millió Ft jövedelem állna. Teljesen más a helyzet akkor, ha a hőszolgáltatási tevékenységet a cég úgy tudja bővíteni, hogy a beruházást a hő felhasználója végzi el. Ebben az esetben a cég akár 40%-os árengedményt is tudna adni</w:t>
      </w:r>
      <w:r>
        <w:rPr>
          <w:i/>
          <w:iCs/>
          <w:sz w:val="28"/>
        </w:rPr>
        <w:t>a gáz árához viszonyítva, ami a felhasználónál 57%-os megtakarítást j</w:t>
      </w:r>
      <w:r>
        <w:rPr>
          <w:i/>
          <w:iCs/>
          <w:sz w:val="28"/>
        </w:rPr>
        <w:t>e</w:t>
      </w:r>
      <w:r>
        <w:rPr>
          <w:i/>
          <w:iCs/>
          <w:sz w:val="28"/>
        </w:rPr>
        <w:t xml:space="preserve">lent. </w:t>
      </w:r>
      <w:r>
        <w:rPr>
          <w:b/>
          <w:bCs/>
          <w:i/>
          <w:iCs/>
          <w:sz w:val="28"/>
          <w:u w:val="double"/>
        </w:rPr>
        <w:t>E lehetőség megteremtését figyelmébe ajáljuk az új ko</w:t>
      </w:r>
      <w:r>
        <w:rPr>
          <w:b/>
          <w:bCs/>
          <w:i/>
          <w:iCs/>
          <w:sz w:val="28"/>
          <w:u w:val="double"/>
        </w:rPr>
        <w:t>r</w:t>
      </w:r>
      <w:r>
        <w:rPr>
          <w:b/>
          <w:bCs/>
          <w:i/>
          <w:iCs/>
          <w:sz w:val="28"/>
          <w:u w:val="double"/>
        </w:rPr>
        <w:t>mánynak a lakossági szektorban is. Erre a célra fel lehetne has</w:t>
      </w:r>
      <w:r>
        <w:rPr>
          <w:b/>
          <w:bCs/>
          <w:i/>
          <w:iCs/>
          <w:sz w:val="28"/>
          <w:u w:val="double"/>
        </w:rPr>
        <w:t>z</w:t>
      </w:r>
      <w:r>
        <w:rPr>
          <w:b/>
          <w:bCs/>
          <w:i/>
          <w:iCs/>
          <w:sz w:val="28"/>
          <w:u w:val="double"/>
        </w:rPr>
        <w:t>nálni a jellegi gáz ártámogatást is.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b/>
          <w:bCs/>
          <w:sz w:val="28"/>
          <w:u w:val="single"/>
        </w:rPr>
      </w:pPr>
      <w:r>
        <w:rPr>
          <w:sz w:val="28"/>
          <w:u w:val="single"/>
        </w:rPr>
        <w:t>I./5.4 A keletkező jöved</w:t>
      </w:r>
      <w:r>
        <w:rPr>
          <w:sz w:val="28"/>
          <w:u w:val="single"/>
        </w:rPr>
        <w:t>elmek és megtakarítások összesítése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Az egész tevékenység eredményességét érdemes abból az aspektusból áttekint</w:t>
      </w:r>
      <w:r>
        <w:rPr>
          <w:sz w:val="28"/>
        </w:rPr>
        <w:t>e</w:t>
      </w:r>
      <w:r>
        <w:rPr>
          <w:sz w:val="28"/>
        </w:rPr>
        <w:t xml:space="preserve">ni, hogy milyen költség ráfordítás mellett mekkora jövedelmek keletkeznek az egyes szereplőknél. Az önkormányzatoknál költség ráfordítás nincs, </w:t>
      </w:r>
      <w:r>
        <w:rPr>
          <w:sz w:val="28"/>
        </w:rPr>
        <w:t>viszont 9 millió Ft költség megtakarítás keletkezik. (Ezt úgy is felfoghatjuk, hogy enny</w:t>
      </w:r>
      <w:r>
        <w:rPr>
          <w:sz w:val="28"/>
        </w:rPr>
        <w:t>i</w:t>
      </w:r>
      <w:r>
        <w:rPr>
          <w:sz w:val="28"/>
        </w:rPr>
        <w:t>vel kevesebb állami támogatásra van szüksége. Figyelembe véve, hogy ehhez a beruházáshoz - persze jórészt EU forrásból – 120 millió támogatást kapott a cég, akkor 12 é</w:t>
      </w:r>
      <w:r>
        <w:rPr>
          <w:sz w:val="28"/>
        </w:rPr>
        <w:t>v alatt ez az államnak visszatérül)</w:t>
      </w:r>
    </w:p>
    <w:p w:rsidR="00000000" w:rsidRDefault="00795E81">
      <w:pPr>
        <w:jc w:val="both"/>
        <w:rPr>
          <w:sz w:val="28"/>
        </w:rPr>
      </w:pPr>
    </w:p>
    <w:tbl>
      <w:tblPr>
        <w:tblpPr w:leftFromText="141" w:rightFromText="141" w:vertAnchor="text" w:horzAnchor="margin" w:tblpXSpec="center" w:tblpY="-6"/>
        <w:tblW w:w="6900" w:type="dxa"/>
        <w:tblCellMar>
          <w:left w:w="0" w:type="dxa"/>
          <w:right w:w="0" w:type="dxa"/>
        </w:tblCellMar>
        <w:tblLook w:val="0000"/>
      </w:tblPr>
      <w:tblGrid>
        <w:gridCol w:w="2388"/>
        <w:gridCol w:w="1358"/>
        <w:gridCol w:w="1285"/>
        <w:gridCol w:w="1869"/>
      </w:tblGrid>
      <w:tr w:rsidR="00000000">
        <w:trPr>
          <w:trHeight w:val="345"/>
        </w:trPr>
        <w:tc>
          <w:tcPr>
            <w:tcW w:w="690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Költségek és jövedelmek összesítése</w:t>
            </w:r>
          </w:p>
        </w:tc>
      </w:tr>
      <w:tr w:rsidR="00000000">
        <w:trPr>
          <w:cantSplit/>
          <w:trHeight w:val="525"/>
        </w:trPr>
        <w:tc>
          <w:tcPr>
            <w:tcW w:w="0" w:type="auto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Szereplők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Költség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Jövedelem</w:t>
            </w:r>
          </w:p>
        </w:tc>
        <w:tc>
          <w:tcPr>
            <w:tcW w:w="1545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Jövedelem a köl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ség %-ában</w:t>
            </w:r>
          </w:p>
        </w:tc>
      </w:tr>
      <w:tr w:rsidR="00000000">
        <w:trPr>
          <w:cantSplit/>
          <w:trHeight w:val="28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Önkormányzatok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9 497 736</w:t>
            </w:r>
          </w:p>
        </w:tc>
        <w:tc>
          <w:tcPr>
            <w:tcW w:w="0" w:type="auto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Alapanyag beszállítók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25 531 982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7 468 018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29,25</w:t>
            </w:r>
          </w:p>
        </w:tc>
      </w:tr>
      <w:tr w:rsidR="00000000">
        <w:trPr>
          <w:trHeight w:val="270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 cég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84 255 968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24 028 594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28,52</w:t>
            </w:r>
          </w:p>
        </w:tc>
      </w:tr>
      <w:tr w:rsidR="00000000">
        <w:trPr>
          <w:trHeight w:val="285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Összesen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109 787 950</w:t>
            </w:r>
          </w:p>
        </w:tc>
        <w:tc>
          <w:tcPr>
            <w:tcW w:w="0" w:type="auto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40 994 349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vAlign w:val="bottom"/>
          </w:tcPr>
          <w:p w:rsidR="00000000" w:rsidRDefault="00795E81">
            <w:pPr>
              <w:jc w:val="right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37,34</w:t>
            </w:r>
          </w:p>
        </w:tc>
      </w:tr>
    </w:tbl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Egészében a ráfordításhoz viszony</w:t>
      </w:r>
      <w:r>
        <w:rPr>
          <w:sz w:val="28"/>
        </w:rPr>
        <w:t>ított 37%-os jövedelem arány igazán kivál</w:t>
      </w:r>
      <w:r>
        <w:rPr>
          <w:sz w:val="28"/>
        </w:rPr>
        <w:t>ó</w:t>
      </w:r>
      <w:r>
        <w:rPr>
          <w:sz w:val="28"/>
        </w:rPr>
        <w:t>nak minősíthető.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I./6 A projekt kockázatai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  <w:u w:val="single"/>
        </w:rPr>
        <w:t>I./6.1. A pénzügyi rendszer kockázatai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Rendszerünk a jelenlegi pénzügyi rendszer két alapvető elemére épül: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 megújuló energia felhasználást elősegítő beruházások támo</w:t>
      </w:r>
      <w:r>
        <w:rPr>
          <w:sz w:val="28"/>
        </w:rPr>
        <w:t>gatást é</w:t>
      </w:r>
      <w:r>
        <w:rPr>
          <w:sz w:val="28"/>
        </w:rPr>
        <w:t>l</w:t>
      </w:r>
      <w:r>
        <w:rPr>
          <w:sz w:val="28"/>
        </w:rPr>
        <w:t>veznek</w:t>
      </w: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 megújuló energiákkal előállított hő szolgáltatás forgalmi adóke</w:t>
      </w:r>
      <w:r>
        <w:rPr>
          <w:sz w:val="28"/>
        </w:rPr>
        <w:t>d</w:t>
      </w:r>
      <w:r>
        <w:rPr>
          <w:sz w:val="28"/>
        </w:rPr>
        <w:t>vezményt élvez.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Nyilvánvaló, ha ezek megszűnnek alapvetően, változik a helyzet. Amennyiben a beruházási támogatás szűnne meg úgy e beruházás megtérülése azonnal 10 év fölé m</w:t>
      </w:r>
      <w:r>
        <w:rPr>
          <w:sz w:val="28"/>
        </w:rPr>
        <w:t>enne. Ha a forgalmi adókedvezmény szűnik megy, úgy az önkormányza</w:t>
      </w:r>
      <w:r>
        <w:rPr>
          <w:sz w:val="28"/>
        </w:rPr>
        <w:t>t</w:t>
      </w:r>
      <w:r>
        <w:rPr>
          <w:sz w:val="28"/>
        </w:rPr>
        <w:t>ok megtakarítása a tervezett 36% helyett csak 20 % lenne. Ilyen kondíciókkal nyilván a befektető nem vállalná a beruházás megvalósításához a forrás biztos</w:t>
      </w:r>
      <w:r>
        <w:rPr>
          <w:sz w:val="28"/>
        </w:rPr>
        <w:t>í</w:t>
      </w:r>
      <w:r>
        <w:rPr>
          <w:sz w:val="28"/>
        </w:rPr>
        <w:t>tását.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Ezeknek a változásoknak a b</w:t>
      </w:r>
      <w:r>
        <w:rPr>
          <w:sz w:val="28"/>
        </w:rPr>
        <w:t>ekövetkezési valószínűsége azonban nagyon kicsi, mivel minden törekvés a megújuló energiafelhasználás nagyobb arányú támog</w:t>
      </w:r>
      <w:r>
        <w:rPr>
          <w:sz w:val="28"/>
        </w:rPr>
        <w:t>a</w:t>
      </w:r>
      <w:r>
        <w:rPr>
          <w:sz w:val="28"/>
        </w:rPr>
        <w:t>tása irányában hat. Úgy véljük ilyenfajta változásra a következő 10 évben nem kell számolni.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  <w:u w:val="single"/>
        </w:rPr>
      </w:pPr>
      <w:r>
        <w:rPr>
          <w:sz w:val="28"/>
          <w:u w:val="single"/>
        </w:rPr>
        <w:t>I./6.2. A piaci helyzet kockázatai (árk</w:t>
      </w:r>
      <w:r>
        <w:rPr>
          <w:sz w:val="28"/>
          <w:u w:val="single"/>
        </w:rPr>
        <w:t>ockázatok)</w:t>
      </w:r>
    </w:p>
    <w:p w:rsidR="00000000" w:rsidRDefault="00795E81">
      <w:pPr>
        <w:jc w:val="both"/>
        <w:rPr>
          <w:sz w:val="28"/>
          <w:u w:val="single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Minden elemzés a fosszilis energiahordozók árának emelkedésével számol. A fosszilis energiahordozók áremelkedése nyilvánvaló e változás ki fog hatni mi</w:t>
      </w:r>
      <w:r>
        <w:rPr>
          <w:sz w:val="28"/>
        </w:rPr>
        <w:t>n</w:t>
      </w:r>
      <w:r>
        <w:rPr>
          <w:sz w:val="28"/>
        </w:rPr>
        <w:t>denre. Átgyűrűzik az alapanyag árakra, és meg fog jelenni a projektek költség</w:t>
      </w:r>
      <w:r>
        <w:rPr>
          <w:sz w:val="28"/>
        </w:rPr>
        <w:t>e</w:t>
      </w:r>
      <w:r>
        <w:rPr>
          <w:sz w:val="28"/>
        </w:rPr>
        <w:t>iben is. Az it</w:t>
      </w:r>
      <w:r>
        <w:rPr>
          <w:sz w:val="28"/>
        </w:rPr>
        <w:t>t megjelenő költségnövekedés azonban mindenképpen alatta fog maradni a fosszilis energiahordozók árnövekedésének. Ez két következménnyel jár.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Nagyobb lesz a különbség a fosszilis energiahordozókkal előállított hő ára és a biomasszából előállított hő ára k</w:t>
      </w:r>
      <w:r>
        <w:rPr>
          <w:sz w:val="28"/>
        </w:rPr>
        <w:t>özött, tehát nagyobb megtak</w:t>
      </w:r>
      <w:r>
        <w:rPr>
          <w:sz w:val="28"/>
        </w:rPr>
        <w:t>a</w:t>
      </w:r>
      <w:r>
        <w:rPr>
          <w:sz w:val="28"/>
        </w:rPr>
        <w:t>rítás érhető el pl a fölgáz kiváltásával, mint jelenleg.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 fosszilis energiahordozók drágulása önmagában is ösztönöz arra, hogy azokból minél kevesebbet használjanak fel.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numPr>
          <w:ilvl w:val="1"/>
          <w:numId w:val="2"/>
        </w:numPr>
        <w:jc w:val="both"/>
        <w:rPr>
          <w:sz w:val="28"/>
        </w:rPr>
      </w:pPr>
      <w:r>
        <w:rPr>
          <w:sz w:val="28"/>
        </w:rPr>
        <w:t>Nem az ár alakulásával függ össze, de várhatóan meg fog</w:t>
      </w:r>
      <w:r>
        <w:rPr>
          <w:sz w:val="28"/>
        </w:rPr>
        <w:t xml:space="preserve"> val</w:t>
      </w:r>
      <w:r>
        <w:rPr>
          <w:sz w:val="28"/>
        </w:rPr>
        <w:t>ó</w:t>
      </w:r>
      <w:r>
        <w:rPr>
          <w:sz w:val="28"/>
        </w:rPr>
        <w:t>sulni belátható időn belül nálunk is a CO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kibocsátás csökkenés validálása és annak értékesíthetősége. Ez pedig a rendszerünk á</w:t>
      </w:r>
      <w:r>
        <w:rPr>
          <w:sz w:val="28"/>
        </w:rPr>
        <w:t>l</w:t>
      </w:r>
      <w:r>
        <w:rPr>
          <w:sz w:val="28"/>
        </w:rPr>
        <w:t>tal generált projektek pénzügyi helyzetét lényegesen kedv</w:t>
      </w:r>
      <w:r>
        <w:rPr>
          <w:sz w:val="28"/>
        </w:rPr>
        <w:t>e</w:t>
      </w:r>
      <w:r>
        <w:rPr>
          <w:sz w:val="28"/>
        </w:rPr>
        <w:t>zőbbé teszi.</w:t>
      </w:r>
      <w:r>
        <w:rPr>
          <w:rStyle w:val="Lbjegyzet-hivatkozs"/>
          <w:sz w:val="28"/>
        </w:rPr>
        <w:footnoteReference w:id="26"/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  <w:u w:val="single"/>
        </w:rPr>
      </w:pPr>
      <w:r>
        <w:rPr>
          <w:sz w:val="28"/>
          <w:u w:val="single"/>
        </w:rPr>
        <w:t>I./6.3. Alapanyag biztosítás kockázata</w:t>
      </w:r>
    </w:p>
    <w:p w:rsidR="00000000" w:rsidRDefault="00795E81">
      <w:pPr>
        <w:jc w:val="both"/>
        <w:rPr>
          <w:sz w:val="28"/>
          <w:u w:val="single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pellet g</w:t>
      </w:r>
      <w:r>
        <w:rPr>
          <w:sz w:val="28"/>
        </w:rPr>
        <w:t>yártásának alapanyaga növénytermesztési melléktermékek (kukoric</w:t>
      </w:r>
      <w:r>
        <w:rPr>
          <w:sz w:val="28"/>
        </w:rPr>
        <w:t>a</w:t>
      </w:r>
      <w:r>
        <w:rPr>
          <w:sz w:val="28"/>
        </w:rPr>
        <w:t>szár, szalmák) esetleg lágyszárú energianövény (energiafű, nád, stb.) A decen</w:t>
      </w:r>
      <w:r>
        <w:rPr>
          <w:sz w:val="28"/>
        </w:rPr>
        <w:t>t</w:t>
      </w:r>
      <w:r>
        <w:rPr>
          <w:sz w:val="28"/>
        </w:rPr>
        <w:t>ralizált üzemek folyamatos termeléséhez szükséges 2 – 4 000 tonna minden esetben biztonságosan megterem a térségbe</w:t>
      </w:r>
      <w:r>
        <w:rPr>
          <w:sz w:val="28"/>
        </w:rPr>
        <w:t>n.</w:t>
      </w:r>
      <w:r>
        <w:rPr>
          <w:rStyle w:val="Lbjegyzet-hivatkozs"/>
          <w:sz w:val="28"/>
        </w:rPr>
        <w:footnoteReference w:id="27"/>
      </w:r>
      <w:r>
        <w:rPr>
          <w:sz w:val="28"/>
        </w:rPr>
        <w:t xml:space="preserve"> Időjárási okok miatt azonban a betakaríthatóság nehézségekben ütközhet. Minőségi problémák is előfordulha</w:t>
      </w:r>
      <w:r>
        <w:rPr>
          <w:sz w:val="28"/>
        </w:rPr>
        <w:t>t</w:t>
      </w:r>
      <w:r>
        <w:rPr>
          <w:sz w:val="28"/>
        </w:rPr>
        <w:t>nak. E téren tehát számolnunk kell kockázattal. A kockázat mértékét a követk</w:t>
      </w:r>
      <w:r>
        <w:rPr>
          <w:sz w:val="28"/>
        </w:rPr>
        <w:t>e</w:t>
      </w:r>
      <w:r>
        <w:rPr>
          <w:sz w:val="28"/>
        </w:rPr>
        <w:t xml:space="preserve">ző módszerekkel csökkenthetjük. 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 beszállítói szerződések visszterh</w:t>
      </w:r>
      <w:r>
        <w:rPr>
          <w:sz w:val="28"/>
        </w:rPr>
        <w:t>esek. (lásd a szerződésmintát) A biomasszáért (alapanyag) fizetett átvételi ár olyan összegű, hogy a b</w:t>
      </w:r>
      <w:r>
        <w:rPr>
          <w:sz w:val="28"/>
        </w:rPr>
        <w:t>e</w:t>
      </w:r>
      <w:r>
        <w:rPr>
          <w:sz w:val="28"/>
        </w:rPr>
        <w:t>szállítónak megéri, hogy többet takarítson be, így egy puffer menny</w:t>
      </w:r>
      <w:r>
        <w:rPr>
          <w:sz w:val="28"/>
        </w:rPr>
        <w:t>i</w:t>
      </w:r>
      <w:r>
        <w:rPr>
          <w:sz w:val="28"/>
        </w:rPr>
        <w:t>séget tároljon</w:t>
      </w:r>
      <w:r>
        <w:rPr>
          <w:rStyle w:val="Lbjegyzet-hivatkozs"/>
          <w:sz w:val="28"/>
        </w:rPr>
        <w:footnoteReference w:id="28"/>
      </w:r>
      <w:r>
        <w:rPr>
          <w:sz w:val="28"/>
        </w:rPr>
        <w:t xml:space="preserve"> Vis major esetére. (Természetesen, ahol erre mód van a tároló hely bi</w:t>
      </w:r>
      <w:r>
        <w:rPr>
          <w:sz w:val="28"/>
        </w:rPr>
        <w:t>ztosított, ezt a pr</w:t>
      </w:r>
      <w:r>
        <w:rPr>
          <w:sz w:val="28"/>
        </w:rPr>
        <w:t>o</w:t>
      </w:r>
      <w:r>
        <w:rPr>
          <w:sz w:val="28"/>
        </w:rPr>
        <w:t>jekt cég is meg tudja tenni.)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A kölcsönösség jegyében természetesen – mivel ilyen eset előfordulása már menet közben látható – a probléma enyhíthető szerződésen kívüli alapanyag felvásárlási akciók indításával is.</w:t>
      </w:r>
    </w:p>
    <w:p w:rsidR="00000000" w:rsidRDefault="00795E81">
      <w:pPr>
        <w:ind w:left="708"/>
        <w:jc w:val="both"/>
        <w:rPr>
          <w:sz w:val="28"/>
        </w:rPr>
      </w:pPr>
    </w:p>
    <w:p w:rsidR="00000000" w:rsidRDefault="00795E81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Több projekt indulás</w:t>
      </w:r>
      <w:r>
        <w:rPr>
          <w:sz w:val="28"/>
        </w:rPr>
        <w:t>a esetén, - mivel mindenütt pellet felesleg kele</w:t>
      </w:r>
      <w:r>
        <w:rPr>
          <w:sz w:val="28"/>
        </w:rPr>
        <w:t>t</w:t>
      </w:r>
      <w:r>
        <w:rPr>
          <w:sz w:val="28"/>
        </w:rPr>
        <w:t>kezik,- a fűtéshez szükséges pellet mennyiség minden esetben biztosí</w:t>
      </w:r>
      <w:r>
        <w:rPr>
          <w:sz w:val="28"/>
        </w:rPr>
        <w:t>t</w:t>
      </w:r>
      <w:r>
        <w:rPr>
          <w:sz w:val="28"/>
        </w:rPr>
        <w:t>ható.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  <w:u w:val="single"/>
        </w:rPr>
        <w:t>I./6.4. A termelt többlet pellet értékesítési kockázata</w:t>
      </w:r>
      <w:r>
        <w:rPr>
          <w:sz w:val="28"/>
        </w:rPr>
        <w:t>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Az egész rendszer alapvető eleme az a cég, amellyel a projekt cégek a pel</w:t>
      </w:r>
      <w:r>
        <w:rPr>
          <w:sz w:val="28"/>
        </w:rPr>
        <w:t>let é</w:t>
      </w:r>
      <w:r>
        <w:rPr>
          <w:sz w:val="28"/>
        </w:rPr>
        <w:t>r</w:t>
      </w:r>
      <w:r>
        <w:rPr>
          <w:sz w:val="28"/>
        </w:rPr>
        <w:t>tékesítésre szerződést köthetnek.</w:t>
      </w:r>
      <w:r>
        <w:rPr>
          <w:rStyle w:val="Lbjegyzet-hivatkozs"/>
          <w:sz w:val="28"/>
        </w:rPr>
        <w:footnoteReference w:id="29"/>
      </w:r>
      <w:r>
        <w:rPr>
          <w:sz w:val="28"/>
        </w:rPr>
        <w:t xml:space="preserve"> Amennyiben a leírtakhoz hasonló néhány projekt elindul a hazai „pellet piac” is fel fog élénkülni. Reményeink szerint a lakossági forgalom is beindul. Ennek alapján az értékesítési oldalon nem szám</w:t>
      </w:r>
      <w:r>
        <w:rPr>
          <w:sz w:val="28"/>
        </w:rPr>
        <w:t>o</w:t>
      </w:r>
      <w:r>
        <w:rPr>
          <w:sz w:val="28"/>
        </w:rPr>
        <w:t>lunk kockázattal.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  <w:u w:val="single"/>
        </w:rPr>
      </w:pPr>
      <w:r>
        <w:rPr>
          <w:sz w:val="28"/>
          <w:u w:val="single"/>
        </w:rPr>
        <w:t>I./6.5. Zavar a hőellátásban.</w:t>
      </w:r>
    </w:p>
    <w:p w:rsidR="00000000" w:rsidRDefault="00795E81">
      <w:pPr>
        <w:jc w:val="both"/>
        <w:rPr>
          <w:sz w:val="28"/>
          <w:u w:val="single"/>
        </w:rPr>
      </w:pPr>
    </w:p>
    <w:p w:rsidR="00000000" w:rsidRDefault="00795E81">
      <w:pPr>
        <w:jc w:val="both"/>
        <w:rPr>
          <w:sz w:val="28"/>
        </w:rPr>
      </w:pPr>
      <w:r>
        <w:rPr>
          <w:sz w:val="28"/>
        </w:rPr>
        <w:t>A biomassza kazánok beállításakor a meglévő gázkazánok is a rendszerben m</w:t>
      </w:r>
      <w:r>
        <w:rPr>
          <w:sz w:val="28"/>
        </w:rPr>
        <w:t>a</w:t>
      </w:r>
      <w:r>
        <w:rPr>
          <w:sz w:val="28"/>
        </w:rPr>
        <w:t>radnak. Így bármilyen zavar esetén a hőellátás biztosítható</w:t>
      </w:r>
    </w:p>
    <w:p w:rsidR="00000000" w:rsidRDefault="00795E81">
      <w:pPr>
        <w:jc w:val="both"/>
        <w:rPr>
          <w:sz w:val="28"/>
        </w:rPr>
      </w:pPr>
    </w:p>
    <w:p w:rsidR="00000000" w:rsidRDefault="00795E81">
      <w:pPr>
        <w:jc w:val="both"/>
        <w:rPr>
          <w:sz w:val="28"/>
        </w:rPr>
      </w:pPr>
    </w:p>
    <w:p w:rsidR="00795E81" w:rsidRDefault="00795E81">
      <w:pPr>
        <w:jc w:val="both"/>
        <w:rPr>
          <w:sz w:val="28"/>
        </w:rPr>
      </w:pPr>
    </w:p>
    <w:sectPr w:rsidR="00795E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E81" w:rsidRDefault="00795E81">
      <w:r>
        <w:separator/>
      </w:r>
    </w:p>
  </w:endnote>
  <w:endnote w:type="continuationSeparator" w:id="0">
    <w:p w:rsidR="00795E81" w:rsidRDefault="00795E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95E81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000000" w:rsidRDefault="00795E81">
    <w:pPr>
      <w:pStyle w:val="ll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95E81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:rsidR="00000000" w:rsidRDefault="00795E81">
    <w:pPr>
      <w:pStyle w:val="ll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E81" w:rsidRDefault="00795E81">
      <w:r>
        <w:separator/>
      </w:r>
    </w:p>
  </w:footnote>
  <w:footnote w:type="continuationSeparator" w:id="0">
    <w:p w:rsidR="00795E81" w:rsidRDefault="00795E81">
      <w:r>
        <w:continuationSeparator/>
      </w:r>
    </w:p>
  </w:footnote>
  <w:footnote w:id="1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Helységsoros fel</w:t>
      </w:r>
      <w:r>
        <w:t>mérés alapján.</w:t>
      </w:r>
    </w:p>
  </w:footnote>
  <w:footnote w:id="2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Sajnálatos, hogy többségben irreális mennyiséggel, és ugyancsak irreális felhasználási módszerekkel  is.</w:t>
      </w:r>
    </w:p>
  </w:footnote>
  <w:footnote w:id="3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Ilyen kivételesen indokolt eset lehet, ha valahol igen nagy mennyiségű – 60 –100 000 tonna - tüzelhető hull</w:t>
      </w:r>
      <w:r>
        <w:t>a</w:t>
      </w:r>
      <w:r>
        <w:t>dék ké</w:t>
      </w:r>
      <w:r>
        <w:t>p</w:t>
      </w:r>
      <w:r>
        <w:t xml:space="preserve">ződik, és megvan </w:t>
      </w:r>
      <w:r>
        <w:t xml:space="preserve">a hulladékhő folyamatos felhasználásának lehetősége is (pl. szárító üzem).. </w:t>
      </w:r>
    </w:p>
  </w:footnote>
  <w:footnote w:id="4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20 MW teljesítmény alatti turbinás erőművet nem szívesen létesítenek. Ennek éves tüzelőanyag szükséglete 100 – 120 000 tonna biomassza.</w:t>
      </w:r>
    </w:p>
  </w:footnote>
  <w:footnote w:id="5">
    <w:p w:rsidR="00000000" w:rsidRDefault="00795E81"/>
  </w:footnote>
  <w:footnote w:id="6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 rendszer működésével maga is befolyá</w:t>
      </w:r>
      <w:r>
        <w:t>solja a környezetét, azt bizonyos mértékig alakítja, formálja.</w:t>
      </w:r>
    </w:p>
  </w:footnote>
  <w:footnote w:id="7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MAGROLHŐ tartalma egészében és fő elemeiben szabadalmilag bejelentett, így védett.</w:t>
      </w:r>
    </w:p>
  </w:footnote>
  <w:footnote w:id="8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Egyedi fűtési rendszerek esetén a megfelelő komfortot biztosító fűtőanyag a pellet, esetlegesen a brikett.</w:t>
      </w:r>
      <w:r>
        <w:t xml:space="preserve"> A fűtőanyagot minden esetben a cég állítja elő.</w:t>
      </w:r>
    </w:p>
  </w:footnote>
  <w:footnote w:id="9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Közösségi fűtőmű esetén  általánosságban akkor célszerű a biomasszára történő átállás, amennyiben lehetőség van bála, vagy apríték fűtésre. Itt ugyanis – amennyiben az önkormányzat a hőt eddig is szolgálta</w:t>
      </w:r>
      <w:r>
        <w:t>tásként kapta - a beruházás megtérülése csak ezekkel a pelletnél és brikettnél olcsóbb fűtőanyag esetén garantálható.</w:t>
      </w:r>
    </w:p>
  </w:footnote>
  <w:footnote w:id="10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 projekt cégbe történő tulajdonrész az önkormányzatnak is rendszeres jövedelmet biztosít. (osztalék). Elké</w:t>
      </w:r>
      <w:r>
        <w:t>p</w:t>
      </w:r>
      <w:r>
        <w:t xml:space="preserve">zelhető azonban az is, hogy </w:t>
      </w:r>
      <w:r>
        <w:t>az önkormányzat nem lép be a cégbe. Minden kapcsolatot csak szerződésben szab</w:t>
      </w:r>
      <w:r>
        <w:t>á</w:t>
      </w:r>
      <w:r>
        <w:t>lyozhatnak.</w:t>
      </w:r>
    </w:p>
  </w:footnote>
  <w:footnote w:id="11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 projektek szervezésénél már biztosítani tudjuk azt a pellet forgalmazó céget, amely a megtermelt megfelelő minőségű pelletet, amelyik a projekt cégtől meghatározo</w:t>
      </w:r>
      <w:r>
        <w:t>tt áron megvásárolja.</w:t>
      </w:r>
    </w:p>
  </w:footnote>
  <w:footnote w:id="12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Amennyiben erre lehetőség van, kívánatos a pellet üzemet ma nem használt major, vagy egyéb épületben létesíteni. Erre igen sok helyen van lehetőség. A felújítás lényegesen olcsóbb lehet, mint egy új építése, és ez</w:t>
      </w:r>
      <w:r>
        <w:t>e</w:t>
      </w:r>
      <w:r>
        <w:t>ken a helyeken. (p</w:t>
      </w:r>
      <w:r>
        <w:t>l. volt major) a szükséges infrastruktúra is többnyire biztosított.</w:t>
      </w:r>
    </w:p>
  </w:footnote>
  <w:footnote w:id="13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Jó minőségű fapellet, csak megfelelő minőségű, lekérgezett fából készíthető. A fa aprításának önmagában is nagy az energiaigénye, és az aprítékot mindig szárítani is kell, ami szintén je</w:t>
      </w:r>
      <w:r>
        <w:t>lentős energiafelhasználással jár.</w:t>
      </w:r>
    </w:p>
  </w:footnote>
  <w:footnote w:id="14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Ez azért lényeges, mert az egyedi gáz fűtőrendszerek kazánházai általában kicsik. Nagyméretű kazánok elh</w:t>
      </w:r>
      <w:r>
        <w:t>e</w:t>
      </w:r>
      <w:r>
        <w:t>lyezése problémát okozna.</w:t>
      </w:r>
    </w:p>
  </w:footnote>
  <w:footnote w:id="15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 kazánok teljesítményét a maximális igénybevételhez kell méretezni. Maximális teljesí</w:t>
      </w:r>
      <w:r>
        <w:t>tményre, azonban a tapasztalatok szerint alig 20 napon keresztül van szükség. Ahol csak megoldható egyébként is célszerű a max</w:t>
      </w:r>
      <w:r>
        <w:t>i</w:t>
      </w:r>
      <w:r>
        <w:t>mális hőigényt több kazánnal biztosítani. Az optimális teljesítmény alatti használat ugyanis a kazán hatásfokának romlásával jár.</w:t>
      </w:r>
    </w:p>
  </w:footnote>
  <w:footnote w:id="16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 tüzelőanyagot természetesen a megrendeléskor – annak fajtáját illetően – specifikálni kell.</w:t>
      </w:r>
    </w:p>
  </w:footnote>
  <w:footnote w:id="17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270 millió Ft bekerülési érték az a határ ahol a KEOP 4.2.0. pályázat alapján támogatási intenzitás számítás nélkül automatikusan lehet kapni az 50%-os támog</w:t>
      </w:r>
      <w:r>
        <w:t>atást. Más oldalról körülbelül ez az a nagyságrend, (távolság stb.) amelyet jelentősebb logisztika nehézség nélkül el lehet látni. Itt helyi adottságoktól függően 10-15 km es távolságon belül 10-20 kazán üzemeltetéséről kell gondoskodni. Ez azt jelenti, ho</w:t>
      </w:r>
      <w:r>
        <w:t>gy naponta mindegyiket le</w:t>
      </w:r>
      <w:r>
        <w:t>g</w:t>
      </w:r>
      <w:r>
        <w:t>a</w:t>
      </w:r>
      <w:r>
        <w:t>lább egyszer meg kell nézni, szükség szerint tüzelővel ellátni, feltölteni..</w:t>
      </w:r>
    </w:p>
  </w:footnote>
  <w:footnote w:id="18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Ennek többletköltségét a hőfelhasználási szerződésben rögzített módon a projekt cégnek kell viselnie</w:t>
      </w:r>
    </w:p>
  </w:footnote>
  <w:footnote w:id="19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Egy rendszer akkor nyilt, ha a környezetétől el</w:t>
      </w:r>
      <w:r>
        <w:t>emeket (anyagot, energiát, információt stb.) vesz át, illetve oda elemeket továbbít.</w:t>
      </w:r>
    </w:p>
  </w:footnote>
  <w:footnote w:id="20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Ilyen értéke van annak a közművesített teleknek ahol a pellet üzem felépül</w:t>
      </w:r>
    </w:p>
  </w:footnote>
  <w:footnote w:id="21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Esetünkbe 1m</w:t>
      </w:r>
      <w:r>
        <w:rPr>
          <w:vertAlign w:val="superscript"/>
        </w:rPr>
        <w:t>3</w:t>
      </w:r>
      <w:r>
        <w:t xml:space="preserve"> gáz nettó ára 116,23 Ft igy 1 Mj 3,41866 Ft. (34 Mj/m</w:t>
      </w:r>
      <w:r>
        <w:rPr>
          <w:vertAlign w:val="superscript"/>
        </w:rPr>
        <w:t>3</w:t>
      </w:r>
      <w:r>
        <w:t xml:space="preserve"> )    20% engedménnyel a</w:t>
      </w:r>
      <w:r>
        <w:t xml:space="preserve"> nettó ár  2,73493 Ft/Mj lesz</w:t>
      </w:r>
    </w:p>
  </w:footnote>
  <w:footnote w:id="22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Ez esetünkben az árbevétel 1%-a</w:t>
      </w:r>
    </w:p>
  </w:footnote>
  <w:footnote w:id="23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Ez a jövedelem akkor is fennáll, ha az önkormányzat nem tesz be pénzt a projekt cégbe.</w:t>
      </w:r>
    </w:p>
  </w:footnote>
  <w:footnote w:id="24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Az eddigi projekteknél a beszállítói szerződéseket elsősorban olyan mezőgazdasági nagyüzemekkel kötöt</w:t>
      </w:r>
      <w:r>
        <w:t xml:space="preserve">ték, amelyek rendelkeznek a betakarításhoz szükséges eszközökkel. (Ezt a legcélszerűbb a jövőben is így tenni </w:t>
      </w:r>
    </w:p>
  </w:footnote>
  <w:footnote w:id="25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 pellet jelenleg 36-45 Ft/kg áron kapható különböző forgalmazóknál</w:t>
      </w:r>
    </w:p>
  </w:footnote>
  <w:footnote w:id="26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Mintaprojektünk évi 2 900 tonna CO</w:t>
      </w:r>
      <w:r>
        <w:rPr>
          <w:vertAlign w:val="subscript"/>
        </w:rPr>
        <w:t>2</w:t>
      </w:r>
      <w:r>
        <w:t xml:space="preserve"> kibocsátás csökkenés generál. Ez pedi</w:t>
      </w:r>
      <w:r>
        <w:t>g értékesítve közel 10 millió Ft-ot jelenthet évente a legalacsonyabb áron számolva is.</w:t>
      </w:r>
    </w:p>
  </w:footnote>
  <w:footnote w:id="27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Anélkül, hogy a szükséges mennyiségnek megfelelő beszállítási szerződést ne kötötték volna meg, a projekt nem is jöhet létre. Ez feltétele egyébként a pályázat beadás</w:t>
      </w:r>
      <w:r>
        <w:t>ának is.</w:t>
      </w:r>
    </w:p>
  </w:footnote>
  <w:footnote w:id="28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Megfelelő időszakban betakarított kockabálában tömörített termék két évig a minőség és fűtőérték számottevő romlása nélkül eltartható</w:t>
      </w:r>
    </w:p>
  </w:footnote>
  <w:footnote w:id="29">
    <w:p w:rsidR="00000000" w:rsidRDefault="00795E81">
      <w:pPr>
        <w:pStyle w:val="Lbjegyzetszveg"/>
      </w:pPr>
      <w:r>
        <w:rPr>
          <w:rStyle w:val="Lbjegyzet-hivatkozs"/>
        </w:rPr>
        <w:footnoteRef/>
      </w:r>
      <w:r>
        <w:t xml:space="preserve"> A cég jelenlegi fő értékesítési területe külföld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71B00"/>
    <w:multiLevelType w:val="hybridMultilevel"/>
    <w:tmpl w:val="C0BED598"/>
    <w:lvl w:ilvl="0" w:tplc="885CB290">
      <w:start w:val="9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3B091594"/>
    <w:multiLevelType w:val="hybridMultilevel"/>
    <w:tmpl w:val="F3E087C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086A88">
      <w:start w:val="4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9E704E"/>
    <w:multiLevelType w:val="hybridMultilevel"/>
    <w:tmpl w:val="5EE844F4"/>
    <w:lvl w:ilvl="0" w:tplc="2988A4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C40408"/>
    <w:multiLevelType w:val="hybridMultilevel"/>
    <w:tmpl w:val="1F346034"/>
    <w:lvl w:ilvl="0" w:tplc="BC2A236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72932"/>
    <w:rsid w:val="00795E81"/>
    <w:rsid w:val="00913BEB"/>
    <w:rsid w:val="00A72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jc w:val="both"/>
      <w:outlineLvl w:val="0"/>
    </w:pPr>
    <w:rPr>
      <w:sz w:val="28"/>
    </w:rPr>
  </w:style>
  <w:style w:type="paragraph" w:styleId="Cmsor2">
    <w:name w:val="heading 2"/>
    <w:basedOn w:val="Norml"/>
    <w:next w:val="Norml"/>
    <w:qFormat/>
    <w:pPr>
      <w:keepNext/>
      <w:jc w:val="center"/>
      <w:outlineLvl w:val="1"/>
    </w:pPr>
    <w:rPr>
      <w:b/>
      <w:bCs/>
      <w:sz w:val="28"/>
      <w:u w:val="single"/>
    </w:rPr>
  </w:style>
  <w:style w:type="paragraph" w:styleId="Cmsor3">
    <w:name w:val="heading 3"/>
    <w:basedOn w:val="Norml"/>
    <w:next w:val="Norml"/>
    <w:qFormat/>
    <w:pPr>
      <w:keepNext/>
      <w:jc w:val="center"/>
      <w:outlineLvl w:val="2"/>
    </w:pPr>
    <w:rPr>
      <w:b/>
      <w:bCs/>
      <w:sz w:val="28"/>
    </w:rPr>
  </w:style>
  <w:style w:type="paragraph" w:styleId="Cmsor4">
    <w:name w:val="heading 4"/>
    <w:basedOn w:val="Norml"/>
    <w:next w:val="Norml"/>
    <w:qFormat/>
    <w:pPr>
      <w:keepNext/>
      <w:outlineLvl w:val="3"/>
    </w:pPr>
    <w:rPr>
      <w:b/>
      <w:bCs/>
    </w:rPr>
  </w:style>
  <w:style w:type="paragraph" w:styleId="Cmsor5">
    <w:name w:val="heading 5"/>
    <w:basedOn w:val="Norml"/>
    <w:next w:val="Norml"/>
    <w:qFormat/>
    <w:pPr>
      <w:keepNext/>
      <w:ind w:left="360"/>
      <w:jc w:val="both"/>
      <w:outlineLvl w:val="4"/>
    </w:pPr>
    <w:rPr>
      <w:sz w:val="28"/>
      <w:u w:val="single"/>
    </w:rPr>
  </w:style>
  <w:style w:type="paragraph" w:styleId="Cmsor6">
    <w:name w:val="heading 6"/>
    <w:basedOn w:val="Norml"/>
    <w:next w:val="Norml"/>
    <w:qFormat/>
    <w:pPr>
      <w:keepNext/>
      <w:ind w:left="360"/>
      <w:jc w:val="both"/>
      <w:outlineLvl w:val="5"/>
    </w:pPr>
    <w:rPr>
      <w:b/>
      <w:bCs/>
      <w:sz w:val="28"/>
      <w:u w:val="single"/>
    </w:rPr>
  </w:style>
  <w:style w:type="paragraph" w:styleId="Cmsor7">
    <w:name w:val="heading 7"/>
    <w:basedOn w:val="Norml"/>
    <w:next w:val="Norml"/>
    <w:qFormat/>
    <w:pPr>
      <w:keepNext/>
      <w:ind w:left="708"/>
      <w:jc w:val="both"/>
      <w:outlineLvl w:val="6"/>
    </w:pPr>
    <w:rPr>
      <w:sz w:val="28"/>
    </w:rPr>
  </w:style>
  <w:style w:type="paragraph" w:styleId="Cmsor8">
    <w:name w:val="heading 8"/>
    <w:basedOn w:val="Norml"/>
    <w:next w:val="Norml"/>
    <w:qFormat/>
    <w:pPr>
      <w:keepNext/>
      <w:outlineLvl w:val="7"/>
    </w:pPr>
    <w:rPr>
      <w:sz w:val="28"/>
      <w:u w:val="single"/>
    </w:rPr>
  </w:style>
  <w:style w:type="paragraph" w:styleId="Cmsor9">
    <w:name w:val="heading 9"/>
    <w:basedOn w:val="Norml"/>
    <w:next w:val="Norml"/>
    <w:qFormat/>
    <w:pPr>
      <w:keepNext/>
      <w:ind w:left="2124"/>
      <w:outlineLvl w:val="8"/>
    </w:pPr>
    <w:rPr>
      <w:b/>
      <w:bCs/>
      <w:sz w:val="28"/>
      <w:u w:val="double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semiHidden/>
    <w:rPr>
      <w:sz w:val="20"/>
      <w:szCs w:val="20"/>
    </w:rPr>
  </w:style>
  <w:style w:type="character" w:styleId="Lbjegyzet-hivatkozs">
    <w:name w:val="footnote reference"/>
    <w:basedOn w:val="Bekezdsalapbettpusa"/>
    <w:semiHidden/>
    <w:rPr>
      <w:vertAlign w:val="superscript"/>
    </w:rPr>
  </w:style>
  <w:style w:type="paragraph" w:styleId="Szvegtrzsbehzssal">
    <w:name w:val="Body Text Indent"/>
    <w:basedOn w:val="Norml"/>
    <w:semiHidden/>
    <w:pPr>
      <w:ind w:left="708"/>
      <w:jc w:val="both"/>
    </w:pPr>
    <w:rPr>
      <w:sz w:val="28"/>
    </w:rPr>
  </w:style>
  <w:style w:type="paragraph" w:styleId="llb">
    <w:name w:val="footer"/>
    <w:basedOn w:val="Norml"/>
    <w:semiHidden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semiHidden/>
  </w:style>
  <w:style w:type="paragraph" w:styleId="NormlWeb">
    <w:name w:val="Normal (Web)"/>
    <w:basedOn w:val="Norml"/>
    <w:semiHidden/>
    <w:pPr>
      <w:spacing w:before="100" w:beforeAutospacing="1" w:after="100" w:afterAutospacing="1"/>
    </w:pPr>
  </w:style>
  <w:style w:type="character" w:styleId="Hiperhivatkozs">
    <w:name w:val="Hyperlink"/>
    <w:basedOn w:val="Bekezdsalapbettpusa"/>
    <w:semiHidden/>
    <w:rPr>
      <w:color w:val="0000FF"/>
      <w:u w:val="single"/>
    </w:rPr>
  </w:style>
  <w:style w:type="character" w:styleId="Mrltotthiperhivatkozs">
    <w:name w:val="FollowedHyperlink"/>
    <w:basedOn w:val="Bekezdsalapbettpusa"/>
    <w:semiHidden/>
    <w:rPr>
      <w:color w:val="800080"/>
      <w:u w:val="single"/>
    </w:rPr>
  </w:style>
  <w:style w:type="paragraph" w:styleId="Szvegtrzs">
    <w:name w:val="Body Text"/>
    <w:basedOn w:val="Norml"/>
    <w:semiHidden/>
    <w:pPr>
      <w:jc w:val="center"/>
    </w:pPr>
  </w:style>
  <w:style w:type="paragraph" w:styleId="Szvegtrzs2">
    <w:name w:val="Body Text 2"/>
    <w:basedOn w:val="Norml"/>
    <w:semiHidden/>
    <w:pPr>
      <w:jc w:val="center"/>
    </w:pPr>
    <w:rPr>
      <w:b/>
      <w:bCs/>
    </w:rPr>
  </w:style>
  <w:style w:type="paragraph" w:styleId="Szvegtrzs3">
    <w:name w:val="Body Text 3"/>
    <w:basedOn w:val="Norml"/>
    <w:semiHidden/>
    <w:pPr>
      <w:jc w:val="center"/>
    </w:pPr>
    <w:rPr>
      <w:b/>
      <w:bCs/>
      <w:sz w:val="32"/>
    </w:rPr>
  </w:style>
  <w:style w:type="paragraph" w:styleId="Szvegtrzsbehzssal2">
    <w:name w:val="Body Text Indent 2"/>
    <w:basedOn w:val="Norml"/>
    <w:semiHidden/>
    <w:pPr>
      <w:ind w:left="1416"/>
      <w:jc w:val="both"/>
    </w:pPr>
    <w:rPr>
      <w:sz w:val="28"/>
    </w:rPr>
  </w:style>
  <w:style w:type="paragraph" w:styleId="Szvegtrzsbehzssal3">
    <w:name w:val="Body Text Indent 3"/>
    <w:basedOn w:val="Norml"/>
    <w:semiHidden/>
    <w:pPr>
      <w:ind w:left="2124"/>
      <w:jc w:val="both"/>
    </w:pPr>
    <w:rPr>
      <w:sz w:val="28"/>
    </w:rPr>
  </w:style>
  <w:style w:type="paragraph" w:customStyle="1" w:styleId="font5">
    <w:name w:val="font5"/>
    <w:basedOn w:val="Norml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l"/>
    <w:pP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71">
    <w:name w:val="xl71"/>
    <w:basedOn w:val="Norm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72">
    <w:name w:val="xl72"/>
    <w:basedOn w:val="Norml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73">
    <w:name w:val="xl73"/>
    <w:basedOn w:val="Norm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74">
    <w:name w:val="xl74"/>
    <w:basedOn w:val="Norml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75">
    <w:name w:val="xl75"/>
    <w:basedOn w:val="Norml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76">
    <w:name w:val="xl76"/>
    <w:basedOn w:val="Norm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77">
    <w:name w:val="xl77"/>
    <w:basedOn w:val="Norml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78">
    <w:name w:val="xl78"/>
    <w:basedOn w:val="Norml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79">
    <w:name w:val="xl79"/>
    <w:basedOn w:val="Norml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0">
    <w:name w:val="xl80"/>
    <w:basedOn w:val="Norml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1">
    <w:name w:val="xl81"/>
    <w:basedOn w:val="Norml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2">
    <w:name w:val="xl82"/>
    <w:basedOn w:val="Norml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3">
    <w:name w:val="xl83"/>
    <w:basedOn w:val="Norml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4">
    <w:name w:val="xl84"/>
    <w:basedOn w:val="Norml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5">
    <w:name w:val="xl85"/>
    <w:basedOn w:val="Norml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6">
    <w:name w:val="xl86"/>
    <w:basedOn w:val="Norml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7">
    <w:name w:val="xl87"/>
    <w:basedOn w:val="Norml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8">
    <w:name w:val="xl88"/>
    <w:basedOn w:val="Norml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89">
    <w:name w:val="xl89"/>
    <w:basedOn w:val="Norml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90">
    <w:name w:val="xl90"/>
    <w:basedOn w:val="Norml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91">
    <w:name w:val="xl91"/>
    <w:basedOn w:val="Norml"/>
    <w:pPr>
      <w:pBdr>
        <w:top w:val="double" w:sz="6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92">
    <w:name w:val="xl92"/>
    <w:basedOn w:val="Norml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93">
    <w:name w:val="xl93"/>
    <w:basedOn w:val="Norml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94">
    <w:name w:val="xl94"/>
    <w:basedOn w:val="Norml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95">
    <w:name w:val="xl95"/>
    <w:basedOn w:val="Norml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96">
    <w:name w:val="xl96"/>
    <w:basedOn w:val="Norml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97">
    <w:name w:val="xl97"/>
    <w:basedOn w:val="Norm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98">
    <w:name w:val="xl98"/>
    <w:basedOn w:val="Norml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99">
    <w:name w:val="xl99"/>
    <w:basedOn w:val="Norml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20"/>
      <w:szCs w:val="20"/>
    </w:rPr>
  </w:style>
  <w:style w:type="paragraph" w:customStyle="1" w:styleId="xl100">
    <w:name w:val="xl100"/>
    <w:basedOn w:val="Norml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20"/>
      <w:szCs w:val="20"/>
    </w:rPr>
  </w:style>
  <w:style w:type="paragraph" w:customStyle="1" w:styleId="xl101">
    <w:name w:val="xl101"/>
    <w:basedOn w:val="Norml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sz w:val="20"/>
      <w:szCs w:val="20"/>
    </w:rPr>
  </w:style>
  <w:style w:type="paragraph" w:customStyle="1" w:styleId="xl102">
    <w:name w:val="xl102"/>
    <w:basedOn w:val="Norml"/>
    <w:pPr>
      <w:pBdr>
        <w:left w:val="double" w:sz="6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103">
    <w:name w:val="xl103"/>
    <w:basedOn w:val="Norml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04">
    <w:name w:val="xl104"/>
    <w:basedOn w:val="Norml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05">
    <w:name w:val="xl105"/>
    <w:basedOn w:val="Norml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06">
    <w:name w:val="xl106"/>
    <w:basedOn w:val="Norml"/>
    <w:pPr>
      <w:pBdr>
        <w:top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107">
    <w:name w:val="xl107"/>
    <w:basedOn w:val="Norml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108">
    <w:name w:val="xl108"/>
    <w:basedOn w:val="Norml"/>
    <w:pPr>
      <w:pBdr>
        <w:top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109">
    <w:name w:val="xl109"/>
    <w:basedOn w:val="Norml"/>
    <w:pPr>
      <w:pBdr>
        <w:top w:val="single" w:sz="4" w:space="0" w:color="auto"/>
        <w:lef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110">
    <w:name w:val="xl110"/>
    <w:basedOn w:val="Norml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xl111">
    <w:name w:val="xl111"/>
    <w:basedOn w:val="Norml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xl112">
    <w:name w:val="xl112"/>
    <w:basedOn w:val="Norml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13">
    <w:name w:val="xl113"/>
    <w:basedOn w:val="Norml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14">
    <w:name w:val="xl114"/>
    <w:basedOn w:val="Norml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115">
    <w:name w:val="xl115"/>
    <w:basedOn w:val="Norml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116">
    <w:name w:val="xl116"/>
    <w:basedOn w:val="Norml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17">
    <w:name w:val="xl117"/>
    <w:basedOn w:val="Norml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18">
    <w:name w:val="xl118"/>
    <w:basedOn w:val="Norml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19">
    <w:name w:val="xl119"/>
    <w:basedOn w:val="Norml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20">
    <w:name w:val="xl120"/>
    <w:basedOn w:val="Norml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21">
    <w:name w:val="xl121"/>
    <w:basedOn w:val="Norml"/>
    <w:pPr>
      <w:pBdr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22">
    <w:name w:val="xl122"/>
    <w:basedOn w:val="Norml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23">
    <w:name w:val="xl123"/>
    <w:basedOn w:val="Norml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124">
    <w:name w:val="xl124"/>
    <w:basedOn w:val="Norm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125">
    <w:name w:val="xl125"/>
    <w:basedOn w:val="Norml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20"/>
      <w:szCs w:val="20"/>
    </w:rPr>
  </w:style>
  <w:style w:type="paragraph" w:customStyle="1" w:styleId="xl126">
    <w:name w:val="xl126"/>
    <w:basedOn w:val="Norml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27">
    <w:name w:val="xl127"/>
    <w:basedOn w:val="Norml"/>
    <w:pPr>
      <w:pBdr>
        <w:top w:val="double" w:sz="6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28">
    <w:name w:val="xl128"/>
    <w:basedOn w:val="Norml"/>
    <w:pPr>
      <w:pBdr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29">
    <w:name w:val="xl129"/>
    <w:basedOn w:val="Norml"/>
    <w:pPr>
      <w:pBdr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30">
    <w:name w:val="xl130"/>
    <w:basedOn w:val="Norml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31">
    <w:name w:val="xl131"/>
    <w:basedOn w:val="Norml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132">
    <w:name w:val="xl132"/>
    <w:basedOn w:val="Norml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33">
    <w:name w:val="xl133"/>
    <w:basedOn w:val="Norml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 Unicode MS"/>
      <w:b/>
      <w:bCs/>
      <w:sz w:val="20"/>
      <w:szCs w:val="20"/>
    </w:rPr>
  </w:style>
  <w:style w:type="paragraph" w:customStyle="1" w:styleId="xl134">
    <w:name w:val="xl134"/>
    <w:basedOn w:val="Norml"/>
    <w:pPr>
      <w:pBdr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135">
    <w:name w:val="xl135"/>
    <w:basedOn w:val="Norml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 Unicode MS"/>
      <w:b/>
      <w:bCs/>
      <w:sz w:val="22"/>
      <w:szCs w:val="22"/>
    </w:rPr>
  </w:style>
  <w:style w:type="paragraph" w:customStyle="1" w:styleId="xl136">
    <w:name w:val="xl136"/>
    <w:basedOn w:val="Norml"/>
    <w:pPr>
      <w:pBdr>
        <w:top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137">
    <w:name w:val="xl137"/>
    <w:basedOn w:val="Norml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138">
    <w:name w:val="xl138"/>
    <w:basedOn w:val="Norml"/>
    <w:pPr>
      <w:pBdr>
        <w:left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139">
    <w:name w:val="xl139"/>
    <w:basedOn w:val="Norml"/>
    <w:pPr>
      <w:spacing w:before="100" w:beforeAutospacing="1" w:after="100" w:afterAutospacing="1"/>
      <w:jc w:val="both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140">
    <w:name w:val="xl140"/>
    <w:basedOn w:val="Norml"/>
    <w:pPr>
      <w:pBdr>
        <w:right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141">
    <w:name w:val="xl141"/>
    <w:basedOn w:val="Norml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142">
    <w:name w:val="xl142"/>
    <w:basedOn w:val="Norml"/>
    <w:pPr>
      <w:pBdr>
        <w:bottom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143">
    <w:name w:val="xl143"/>
    <w:basedOn w:val="Norml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144">
    <w:name w:val="xl144"/>
    <w:basedOn w:val="Norml"/>
    <w:pPr>
      <w:pBdr>
        <w:top w:val="double" w:sz="6" w:space="0" w:color="auto"/>
        <w:left w:val="double" w:sz="6" w:space="0" w:color="auto"/>
      </w:pBdr>
      <w:spacing w:before="100" w:beforeAutospacing="1" w:after="100" w:afterAutospacing="1"/>
      <w:jc w:val="both"/>
      <w:textAlignment w:val="center"/>
    </w:pPr>
    <w:rPr>
      <w:rFonts w:ascii="Arial" w:eastAsia="Arial Unicode MS" w:hAnsi="Arial" w:cs="Arial Unicode MS"/>
      <w:sz w:val="16"/>
      <w:szCs w:val="16"/>
    </w:rPr>
  </w:style>
  <w:style w:type="paragraph" w:customStyle="1" w:styleId="xl145">
    <w:name w:val="xl145"/>
    <w:basedOn w:val="Norm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16"/>
      <w:szCs w:val="16"/>
    </w:rPr>
  </w:style>
  <w:style w:type="paragraph" w:customStyle="1" w:styleId="xl146">
    <w:name w:val="xl146"/>
    <w:basedOn w:val="Norml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16"/>
      <w:szCs w:val="16"/>
    </w:rPr>
  </w:style>
  <w:style w:type="paragraph" w:customStyle="1" w:styleId="xl147">
    <w:name w:val="xl147"/>
    <w:basedOn w:val="Norml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sz w:val="16"/>
      <w:szCs w:val="16"/>
    </w:rPr>
  </w:style>
  <w:style w:type="paragraph" w:customStyle="1" w:styleId="xl66">
    <w:name w:val="xl66"/>
    <w:basedOn w:val="Norml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0"/>
      <w:szCs w:val="20"/>
    </w:rPr>
  </w:style>
  <w:style w:type="paragraph" w:customStyle="1" w:styleId="xl67">
    <w:name w:val="xl67"/>
    <w:basedOn w:val="Norml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0"/>
      <w:szCs w:val="20"/>
    </w:rPr>
  </w:style>
  <w:style w:type="paragraph" w:customStyle="1" w:styleId="xl68">
    <w:name w:val="xl68"/>
    <w:basedOn w:val="Norml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0"/>
      <w:szCs w:val="20"/>
    </w:rPr>
  </w:style>
  <w:style w:type="paragraph" w:customStyle="1" w:styleId="xl69">
    <w:name w:val="xl69"/>
    <w:basedOn w:val="Norml"/>
    <w:pPr>
      <w:spacing w:before="100" w:beforeAutospacing="1" w:after="100" w:afterAutospacing="1"/>
    </w:pPr>
    <w:rPr>
      <w:rFonts w:eastAsia="Arial Unicode MS"/>
      <w:b/>
      <w:bCs/>
      <w:sz w:val="16"/>
      <w:szCs w:val="16"/>
    </w:rPr>
  </w:style>
  <w:style w:type="paragraph" w:customStyle="1" w:styleId="xl70">
    <w:name w:val="xl70"/>
    <w:basedOn w:val="Norml"/>
    <w:pPr>
      <w:spacing w:before="100" w:beforeAutospacing="1" w:after="100" w:afterAutospacing="1"/>
      <w:jc w:val="right"/>
    </w:pPr>
    <w:rPr>
      <w:rFonts w:eastAsia="Arial Unicode MS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hu.wikipedia.org/wiki/K%C3%B6rnyeze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t>Hőenergia biztosításra felhasználható tüzelhető biomassza megoszlása</a:t>
            </a:r>
          </a:p>
        </c:rich>
      </c:tx>
      <c:layout>
        <c:manualLayout>
          <c:xMode val="edge"/>
          <c:yMode val="edge"/>
          <c:x val="0.1092278719397364"/>
          <c:y val="1.8927444794952689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7.3446327683615822E-2"/>
          <c:y val="0.28075709779179803"/>
          <c:w val="0.89453860640301341"/>
          <c:h val="0.5962145110410092"/>
        </c:manualLayout>
      </c:layout>
      <c:pie3DChart>
        <c:varyColors val="1"/>
        <c:ser>
          <c:idx val="0"/>
          <c:order val="0"/>
          <c:spPr>
            <a:solidFill>
              <a:srgbClr val="8080FF"/>
            </a:solidFill>
            <a:ln w="12700">
              <a:solidFill>
                <a:srgbClr val="000000"/>
              </a:solidFill>
              <a:prstDash val="solid"/>
            </a:ln>
          </c:spPr>
          <c:explosion val="24"/>
          <c:dPt>
            <c:idx val="1"/>
            <c:spPr>
              <a:solidFill>
                <a:srgbClr val="80206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A0E0E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80C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0C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74387947269303267"/>
                  <c:y val="0.22397476340694006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Mode val="edge"/>
                  <c:yMode val="edge"/>
                  <c:x val="0.56873822975517918"/>
                  <c:y val="0.5678233438485808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Mode val="edge"/>
                  <c:yMode val="edge"/>
                  <c:x val="0.32203389830508483"/>
                  <c:y val="0.66246056782334362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Mode val="edge"/>
                  <c:yMode val="edge"/>
                  <c:x val="0.18267419962335216"/>
                  <c:y val="0.88643533123028373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Mode val="edge"/>
                  <c:yMode val="edge"/>
                  <c:x val="0.15630885122410546"/>
                  <c:y val="0.62460567823343904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Mode val="edge"/>
                  <c:yMode val="edge"/>
                  <c:x val="6.9679849340866296E-2"/>
                  <c:y val="0.51104100946372266"/>
                </c:manualLayout>
              </c:layout>
              <c:dLblPos val="bestFit"/>
              <c:showCatName val="1"/>
              <c:showPercent val="1"/>
            </c:dLbl>
            <c:dLbl>
              <c:idx val="6"/>
              <c:layout>
                <c:manualLayout>
                  <c:xMode val="edge"/>
                  <c:yMode val="edge"/>
                  <c:x val="0"/>
                  <c:y val="0.22082018927444788"/>
                </c:manualLayout>
              </c:layout>
              <c:dLblPos val="bestFit"/>
              <c:showCatName val="1"/>
              <c:showPercent val="1"/>
            </c:dLbl>
            <c:dLbl>
              <c:idx val="7"/>
              <c:layout>
                <c:manualLayout>
                  <c:xMode val="edge"/>
                  <c:yMode val="edge"/>
                  <c:x val="0.30508474576271205"/>
                  <c:y val="0.23028391167192436"/>
                </c:manualLayout>
              </c:layout>
              <c:dLblPos val="bestFit"/>
              <c:showCatName val="1"/>
              <c:showPercent val="1"/>
            </c:dLbl>
            <c:numFmt formatCode="0%" sourceLinked="0"/>
            <c:spPr>
              <a:solidFill>
                <a:srgbClr val="FFFF00"/>
              </a:solidFill>
              <a:ln w="25400">
                <a:noFill/>
              </a:ln>
            </c:spPr>
            <c:txPr>
              <a:bodyPr/>
              <a:lstStyle/>
              <a:p>
                <a:pPr>
                  <a:defRPr sz="5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hu-HU"/>
              </a:p>
            </c:txPr>
            <c:showCatName val="1"/>
            <c:showPercent val="1"/>
            <c:showLeaderLines val="1"/>
          </c:dLbls>
          <c:cat>
            <c:strRef>
              <c:f>Munka3!$A$97:$A$104</c:f>
              <c:strCache>
                <c:ptCount val="8"/>
                <c:pt idx="0">
                  <c:v>Búza</c:v>
                </c:pt>
                <c:pt idx="1">
                  <c:v>Kukorica </c:v>
                </c:pt>
                <c:pt idx="2">
                  <c:v>Napraforgó </c:v>
                </c:pt>
                <c:pt idx="3">
                  <c:v>Szója</c:v>
                </c:pt>
                <c:pt idx="4">
                  <c:v>Repce</c:v>
                </c:pt>
                <c:pt idx="5">
                  <c:v>Energia ültetvény</c:v>
                </c:pt>
                <c:pt idx="6">
                  <c:v>Szőlő gyümölcs ültetvény</c:v>
                </c:pt>
                <c:pt idx="7">
                  <c:v>Erdészeti hulladék</c:v>
                </c:pt>
              </c:strCache>
            </c:strRef>
          </c:cat>
          <c:val>
            <c:numRef>
              <c:f>Munka3!$B$97:$B$104</c:f>
              <c:numCache>
                <c:formatCode>#,##0</c:formatCode>
                <c:ptCount val="8"/>
                <c:pt idx="0">
                  <c:v>841050</c:v>
                </c:pt>
                <c:pt idx="1">
                  <c:v>1462240</c:v>
                </c:pt>
                <c:pt idx="2">
                  <c:v>175040</c:v>
                </c:pt>
                <c:pt idx="3">
                  <c:v>61739.999999999993</c:v>
                </c:pt>
                <c:pt idx="4">
                  <c:v>146160</c:v>
                </c:pt>
                <c:pt idx="5">
                  <c:v>360000</c:v>
                </c:pt>
                <c:pt idx="6">
                  <c:v>160000</c:v>
                </c:pt>
                <c:pt idx="7">
                  <c:v>840000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7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t>A begyűjthető tüzelhető biomassza hőértéke, és az önkormányzati intézmények hőszükséglete településnagyság szerinti csoportosításban</a:t>
            </a:r>
          </a:p>
        </c:rich>
      </c:tx>
      <c:layout>
        <c:manualLayout>
          <c:xMode val="edge"/>
          <c:yMode val="edge"/>
          <c:x val="0.10865561694290979"/>
          <c:y val="2.0202020202020211E-2"/>
        </c:manualLayout>
      </c:layout>
      <c:spPr>
        <a:noFill/>
        <a:ln w="25400">
          <a:noFill/>
        </a:ln>
      </c:spPr>
    </c:title>
    <c:view3D>
      <c:hPercent val="5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0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0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022099447513818"/>
          <c:y val="0.20707070707070707"/>
          <c:w val="0.82136279926335143"/>
          <c:h val="0.5025252525252526"/>
        </c:manualLayout>
      </c:layout>
      <c:bar3DChart>
        <c:barDir val="col"/>
        <c:grouping val="clustered"/>
        <c:ser>
          <c:idx val="0"/>
          <c:order val="0"/>
          <c:tx>
            <c:strRef>
              <c:f>Alapanyagtöbbletesek!$B$3026</c:f>
              <c:strCache>
                <c:ptCount val="1"/>
                <c:pt idx="0">
                  <c:v>Begyűjt hető bimassza fűtő értéke</c:v>
                </c:pt>
              </c:strCache>
            </c:strRef>
          </c:tx>
          <c:spPr>
            <a:solidFill>
              <a:srgbClr val="8080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Alapanyagtöbbletesek!$A$3027:$A$3032</c:f>
              <c:strCache>
                <c:ptCount val="6"/>
                <c:pt idx="0">
                  <c:v>&gt; 10 000 fő (72 db)</c:v>
                </c:pt>
                <c:pt idx="1">
                  <c:v>5 001- 10 000 (114 db)</c:v>
                </c:pt>
                <c:pt idx="2">
                  <c:v>3 001 - 5 000 fő (193 db)</c:v>
                </c:pt>
                <c:pt idx="3">
                  <c:v>1 001- 3 000 (921 db)</c:v>
                </c:pt>
                <c:pt idx="4">
                  <c:v>501 - 1 000 fő (676 db)</c:v>
                </c:pt>
                <c:pt idx="5">
                  <c:v>&lt; 500 (1011 db)</c:v>
                </c:pt>
              </c:strCache>
            </c:strRef>
          </c:cat>
          <c:val>
            <c:numRef>
              <c:f>Alapanyagtöbbletesek!$B$3027:$B$3032</c:f>
              <c:numCache>
                <c:formatCode>#,##0</c:formatCode>
                <c:ptCount val="6"/>
                <c:pt idx="0">
                  <c:v>6119365</c:v>
                </c:pt>
                <c:pt idx="1">
                  <c:v>5184557</c:v>
                </c:pt>
                <c:pt idx="2">
                  <c:v>5607860</c:v>
                </c:pt>
                <c:pt idx="3">
                  <c:v>16821437</c:v>
                </c:pt>
                <c:pt idx="4">
                  <c:v>7789698</c:v>
                </c:pt>
                <c:pt idx="5">
                  <c:v>6400822</c:v>
                </c:pt>
              </c:numCache>
            </c:numRef>
          </c:val>
        </c:ser>
        <c:ser>
          <c:idx val="1"/>
          <c:order val="1"/>
          <c:tx>
            <c:strRef>
              <c:f>Alapanyagtöbbletesek!$C$3026</c:f>
              <c:strCache>
                <c:ptCount val="1"/>
                <c:pt idx="0">
                  <c:v>Intéz ményi fűtés hő szükség lete.</c:v>
                </c:pt>
              </c:strCache>
            </c:strRef>
          </c:tx>
          <c:spPr>
            <a:solidFill>
              <a:srgbClr val="80206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Alapanyagtöbbletesek!$A$3027:$A$3032</c:f>
              <c:strCache>
                <c:ptCount val="6"/>
                <c:pt idx="0">
                  <c:v>&gt; 10 000 fő (72 db)</c:v>
                </c:pt>
                <c:pt idx="1">
                  <c:v>5 001- 10 000 (114 db)</c:v>
                </c:pt>
                <c:pt idx="2">
                  <c:v>3 001 - 5 000 fő (193 db)</c:v>
                </c:pt>
                <c:pt idx="3">
                  <c:v>1 001- 3 000 (921 db)</c:v>
                </c:pt>
                <c:pt idx="4">
                  <c:v>501 - 1 000 fő (676 db)</c:v>
                </c:pt>
                <c:pt idx="5">
                  <c:v>&lt; 500 (1011 db)</c:v>
                </c:pt>
              </c:strCache>
            </c:strRef>
          </c:cat>
          <c:val>
            <c:numRef>
              <c:f>Alapanyagtöbbletesek!$C$3027:$C$3032</c:f>
              <c:numCache>
                <c:formatCode>#,##0</c:formatCode>
                <c:ptCount val="6"/>
                <c:pt idx="0">
                  <c:v>2272455</c:v>
                </c:pt>
                <c:pt idx="1">
                  <c:v>1423976</c:v>
                </c:pt>
                <c:pt idx="2">
                  <c:v>1311057</c:v>
                </c:pt>
                <c:pt idx="3">
                  <c:v>2898116</c:v>
                </c:pt>
                <c:pt idx="4">
                  <c:v>889087</c:v>
                </c:pt>
                <c:pt idx="5">
                  <c:v>501414</c:v>
                </c:pt>
              </c:numCache>
            </c:numRef>
          </c:val>
        </c:ser>
        <c:shape val="box"/>
        <c:axId val="146167680"/>
        <c:axId val="146194432"/>
        <c:axId val="0"/>
      </c:bar3DChart>
      <c:catAx>
        <c:axId val="146167680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t>Településnagyság</a:t>
                </a:r>
              </a:p>
            </c:rich>
          </c:tx>
          <c:layout>
            <c:manualLayout>
              <c:xMode val="edge"/>
              <c:yMode val="edge"/>
              <c:x val="0.47513812154696133"/>
              <c:y val="0.8434343434343434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46194432"/>
        <c:crosses val="autoZero"/>
        <c:auto val="1"/>
        <c:lblAlgn val="ctr"/>
        <c:lblOffset val="100"/>
        <c:tickLblSkip val="1"/>
        <c:tickMarkSkip val="1"/>
      </c:catAx>
      <c:valAx>
        <c:axId val="1461944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t>Mj</a:t>
                </a:r>
              </a:p>
            </c:rich>
          </c:tx>
          <c:layout>
            <c:manualLayout>
              <c:xMode val="edge"/>
              <c:yMode val="edge"/>
              <c:x val="9.3922651933701654E-2"/>
              <c:y val="0.44696969696969707"/>
            </c:manualLayout>
          </c:layout>
          <c:spPr>
            <a:noFill/>
            <a:ln w="25400">
              <a:noFill/>
            </a:ln>
          </c:spPr>
        </c:title>
        <c:numFmt formatCode="#,##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14616768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2523020257826895"/>
          <c:y val="0.93434343434343481"/>
          <c:w val="0.74769797421731143"/>
          <c:h val="5.808080808080808E-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hu-H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t>A teljes (Fűtési és pelletgyártási) beruházás összetétele)</a:t>
            </a:r>
          </a:p>
        </c:rich>
      </c:tx>
      <c:layout>
        <c:manualLayout>
          <c:xMode val="edge"/>
          <c:yMode val="edge"/>
          <c:x val="0.13122923588039881"/>
          <c:y val="1.9230769230769246E-2"/>
        </c:manualLayout>
      </c:layout>
      <c:spPr>
        <a:noFill/>
        <a:ln w="25399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9.3023255813953501E-2"/>
          <c:y val="0.40109890109890123"/>
          <c:w val="0.83222591362126264"/>
          <c:h val="0.54670329670329665"/>
        </c:manualLayout>
      </c:layout>
      <c:pie3DChart>
        <c:varyColors val="1"/>
        <c:ser>
          <c:idx val="1"/>
          <c:order val="0"/>
          <c:tx>
            <c:strRef>
              <c:f>Beruházás!$A$111</c:f>
              <c:strCache>
                <c:ptCount val="1"/>
                <c:pt idx="0">
                  <c:v>Mindösszesen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62790697674418638"/>
                  <c:y val="0.43681318681318682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Mode val="edge"/>
                  <c:yMode val="edge"/>
                  <c:x val="0.52823920265780755"/>
                  <c:y val="0.69230769230769251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Mode val="edge"/>
                  <c:yMode val="edge"/>
                  <c:x val="0.13289036544850497"/>
                  <c:y val="0.64560439560439586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Mode val="edge"/>
                  <c:yMode val="edge"/>
                  <c:x val="9.634551495016612E-2"/>
                  <c:y val="0.36813186813186827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Mode val="edge"/>
                  <c:yMode val="edge"/>
                  <c:x val="0.34219269102990046"/>
                  <c:y val="0.40659340659340659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Mode val="edge"/>
                  <c:yMode val="edge"/>
                  <c:x val="0.48338870431893705"/>
                  <c:y val="0.34065934065934067"/>
                </c:manualLayout>
              </c:layout>
              <c:dLblPos val="bestFit"/>
              <c:showCatName val="1"/>
              <c:showPercent val="1"/>
            </c:dLbl>
            <c:numFmt formatCode="0%" sourceLinked="0"/>
            <c:spPr>
              <a:solidFill>
                <a:srgbClr val="FFFF00"/>
              </a:solidFill>
              <a:ln w="25399">
                <a:noFill/>
              </a:ln>
            </c:spPr>
            <c:txPr>
              <a:bodyPr/>
              <a:lstStyle/>
              <a:p>
                <a:pPr>
                  <a:defRPr sz="750" b="0" i="0" u="none" strike="noStrike" baseline="0">
                    <a:solidFill>
                      <a:srgbClr val="000000"/>
                    </a:solidFill>
                    <a:latin typeface="Times New Roman Greek"/>
                    <a:ea typeface="Times New Roman Greek"/>
                    <a:cs typeface="Times New Roman Greek"/>
                  </a:defRPr>
                </a:pPr>
                <a:endParaRPr lang="hu-HU"/>
              </a:p>
            </c:txPr>
            <c:showCatName val="1"/>
            <c:showPercent val="1"/>
            <c:showLeaderLines val="1"/>
          </c:dLbls>
          <c:cat>
            <c:strRef>
              <c:f>Beruházás!$B$109:$G$109</c:f>
              <c:strCache>
                <c:ptCount val="6"/>
                <c:pt idx="0">
                  <c:v>Építés</c:v>
                </c:pt>
                <c:pt idx="1">
                  <c:v>Gépek Berendezések</c:v>
                </c:pt>
                <c:pt idx="2">
                  <c:v>Szerelés</c:v>
                </c:pt>
                <c:pt idx="3">
                  <c:v>Kémények</c:v>
                </c:pt>
                <c:pt idx="4">
                  <c:v>Kazánok</c:v>
                </c:pt>
                <c:pt idx="5">
                  <c:v>Vezeték</c:v>
                </c:pt>
              </c:strCache>
            </c:strRef>
          </c:cat>
          <c:val>
            <c:numRef>
              <c:f>Beruházás!$B$111:$G$111</c:f>
              <c:numCache>
                <c:formatCode>#,##0</c:formatCode>
                <c:ptCount val="6"/>
                <c:pt idx="0">
                  <c:v>42826000</c:v>
                </c:pt>
                <c:pt idx="1">
                  <c:v>113198800</c:v>
                </c:pt>
                <c:pt idx="2">
                  <c:v>24417800</c:v>
                </c:pt>
                <c:pt idx="3">
                  <c:v>5200000</c:v>
                </c:pt>
                <c:pt idx="4">
                  <c:v>39931200</c:v>
                </c:pt>
                <c:pt idx="5">
                  <c:v>2200000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399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t>Egyes költségelemek megoszlása az önköltségen belül</a:t>
            </a:r>
          </a:p>
        </c:rich>
      </c:tx>
      <c:layout>
        <c:manualLayout>
          <c:xMode val="edge"/>
          <c:yMode val="edge"/>
          <c:x val="0.15284552845528454"/>
          <c:y val="2.0467836257309947E-2"/>
        </c:manualLayout>
      </c:layout>
      <c:spPr>
        <a:noFill/>
        <a:ln w="25401">
          <a:noFill/>
        </a:ln>
      </c:spPr>
    </c:title>
    <c:view3D>
      <c:rotY val="210"/>
      <c:perspective val="0"/>
    </c:view3D>
    <c:plotArea>
      <c:layout>
        <c:manualLayout>
          <c:layoutTarget val="inner"/>
          <c:xMode val="edge"/>
          <c:yMode val="edge"/>
          <c:x val="7.1544715447154475E-2"/>
          <c:y val="0.10233918128654973"/>
          <c:w val="0.84227642276422754"/>
          <c:h val="0.60233918128654951"/>
        </c:manualLayout>
      </c:layout>
      <c:pie3DChart>
        <c:varyColors val="1"/>
        <c:ser>
          <c:idx val="0"/>
          <c:order val="0"/>
          <c:tx>
            <c:strRef>
              <c:f>Pelletgyártás!$B$21</c:f>
              <c:strCache>
                <c:ptCount val="1"/>
                <c:pt idx="0">
                  <c:v>Éves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2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Mode val="edge"/>
                  <c:yMode val="edge"/>
                  <c:x val="0.18536585365853658"/>
                  <c:y val="0.30701754385964941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Mode val="edge"/>
                  <c:yMode val="edge"/>
                  <c:x val="0.42601626016260191"/>
                  <c:y val="0.12573099415204683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Mode val="edge"/>
                  <c:yMode val="edge"/>
                  <c:x val="0.68292682926829273"/>
                  <c:y val="0.29239766081871355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Mode val="edge"/>
                  <c:yMode val="edge"/>
                  <c:x val="0.83739837398373984"/>
                  <c:y val="0.6491228070175441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Mode val="edge"/>
                  <c:yMode val="edge"/>
                  <c:x val="0.64878048780487851"/>
                  <c:y val="0.72222222222222221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Mode val="edge"/>
                  <c:yMode val="edge"/>
                  <c:x val="0.64227642276422769"/>
                  <c:y val="0.92105263157894735"/>
                </c:manualLayout>
              </c:layout>
              <c:dLblPos val="bestFit"/>
              <c:showCatName val="1"/>
              <c:showPercent val="1"/>
            </c:dLbl>
            <c:dLbl>
              <c:idx val="6"/>
              <c:layout>
                <c:manualLayout>
                  <c:xMode val="edge"/>
                  <c:yMode val="edge"/>
                  <c:x val="0.4520325203252033"/>
                  <c:y val="0.88888888888888884"/>
                </c:manualLayout>
              </c:layout>
              <c:dLblPos val="bestFit"/>
              <c:showCatName val="1"/>
              <c:showPercent val="1"/>
            </c:dLbl>
            <c:dLbl>
              <c:idx val="7"/>
              <c:layout>
                <c:manualLayout>
                  <c:xMode val="edge"/>
                  <c:yMode val="edge"/>
                  <c:x val="0.30569105691056903"/>
                  <c:y val="0.86257309941520466"/>
                </c:manualLayout>
              </c:layout>
              <c:dLblPos val="bestFit"/>
              <c:showCatName val="1"/>
              <c:showPercent val="1"/>
            </c:dLbl>
            <c:dLbl>
              <c:idx val="8"/>
              <c:layout>
                <c:manualLayout>
                  <c:xMode val="edge"/>
                  <c:yMode val="edge"/>
                  <c:x val="0.14146341463414638"/>
                  <c:y val="0.86257309941520466"/>
                </c:manualLayout>
              </c:layout>
              <c:dLblPos val="bestFit"/>
              <c:showCatName val="1"/>
              <c:showPercent val="1"/>
            </c:dLbl>
            <c:dLbl>
              <c:idx val="9"/>
              <c:layout>
                <c:manualLayout>
                  <c:xMode val="edge"/>
                  <c:yMode val="edge"/>
                  <c:x val="0.20650406504065039"/>
                  <c:y val="0.6900584795321637"/>
                </c:manualLayout>
              </c:layout>
              <c:dLblPos val="bestFit"/>
              <c:showCatName val="1"/>
              <c:showPercent val="1"/>
            </c:dLbl>
            <c:dLbl>
              <c:idx val="10"/>
              <c:layout>
                <c:manualLayout>
                  <c:xMode val="edge"/>
                  <c:yMode val="edge"/>
                  <c:x val="5.3658536585365846E-2"/>
                  <c:y val="0.60233918128654951"/>
                </c:manualLayout>
              </c:layout>
              <c:dLblPos val="bestFit"/>
              <c:showCatName val="1"/>
              <c:showPercent val="1"/>
            </c:dLbl>
            <c:numFmt formatCode="0%" sourceLinked="0"/>
            <c:spPr>
              <a:solidFill>
                <a:srgbClr val="FFFF00"/>
              </a:solidFill>
              <a:ln w="25401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endParaRPr lang="hu-HU"/>
              </a:p>
            </c:txPr>
            <c:showCatName val="1"/>
            <c:showPercent val="1"/>
            <c:showLeaderLines val="1"/>
          </c:dLbls>
          <c:cat>
            <c:strRef>
              <c:f>Pelletgyártás!$A$22:$A$32</c:f>
              <c:strCache>
                <c:ptCount val="11"/>
                <c:pt idx="0">
                  <c:v>Bérköltség</c:v>
                </c:pt>
                <c:pt idx="1">
                  <c:v>Alapanyag</c:v>
                </c:pt>
                <c:pt idx="2">
                  <c:v>Elektromos Energia</c:v>
                </c:pt>
                <c:pt idx="3">
                  <c:v>Csomagoloanyag</c:v>
                </c:pt>
                <c:pt idx="4">
                  <c:v>Karbantartás</c:v>
                </c:pt>
                <c:pt idx="5">
                  <c:v>Anyagmozgatás</c:v>
                </c:pt>
                <c:pt idx="6">
                  <c:v>Közüzemi díjak</c:v>
                </c:pt>
                <c:pt idx="7">
                  <c:v>Igazgatás</c:v>
                </c:pt>
                <c:pt idx="8">
                  <c:v>Helyi adók</c:v>
                </c:pt>
                <c:pt idx="9">
                  <c:v>Szállítás</c:v>
                </c:pt>
                <c:pt idx="10">
                  <c:v>Egyéb</c:v>
                </c:pt>
              </c:strCache>
            </c:strRef>
          </c:cat>
          <c:val>
            <c:numRef>
              <c:f>Pelletgyártás!$B$22:$B$32</c:f>
              <c:numCache>
                <c:formatCode>#,##0</c:formatCode>
                <c:ptCount val="11"/>
                <c:pt idx="0">
                  <c:v>16524000</c:v>
                </c:pt>
                <c:pt idx="1">
                  <c:v>33644888.888888873</c:v>
                </c:pt>
                <c:pt idx="2">
                  <c:v>18147500</c:v>
                </c:pt>
                <c:pt idx="3">
                  <c:v>4239256</c:v>
                </c:pt>
                <c:pt idx="4">
                  <c:v>2400000</c:v>
                </c:pt>
                <c:pt idx="5">
                  <c:v>1800000</c:v>
                </c:pt>
                <c:pt idx="6">
                  <c:v>1200000</c:v>
                </c:pt>
                <c:pt idx="7">
                  <c:v>2400000</c:v>
                </c:pt>
                <c:pt idx="8">
                  <c:v>1033673.3335272004</c:v>
                </c:pt>
                <c:pt idx="9">
                  <c:v>2400000</c:v>
                </c:pt>
                <c:pt idx="10">
                  <c:v>1200000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1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5708</Words>
  <Characters>39393</Characters>
  <Application>Microsoft Office Word</Application>
  <DocSecurity>0</DocSecurity>
  <Lines>328</Lines>
  <Paragraphs>90</Paragraphs>
  <ScaleCrop>false</ScaleCrop>
  <Company/>
  <LinksUpToDate>false</LinksUpToDate>
  <CharactersWithSpaces>45011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vidéki önkormányzatok intézményeiben a gázfűtés kiváltásának lehetősé-ge (Koncepció)</dc:title>
  <dc:creator>ÉN</dc:creator>
  <cp:lastModifiedBy>Tóth</cp:lastModifiedBy>
  <cp:revision>2</cp:revision>
  <dcterms:created xsi:type="dcterms:W3CDTF">2016-10-29T11:43:00Z</dcterms:created>
  <dcterms:modified xsi:type="dcterms:W3CDTF">2016-10-29T11:43:00Z</dcterms:modified>
</cp:coreProperties>
</file>